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file 1 — GRRAS checklist</w:t>
      </w:r>
    </w:p>
    <w:p>
      <w:pPr>
        <w:pStyle w:val="Subtitle"/>
      </w:pPr>
      <w:r>
        <w:t xml:space="preserve">Guidelines for Reporting Reliability and Agreement Studies (Kottner et al., 2011)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rPr>
          <w:i/>
          <w:iCs/>
        </w:rPr>
        <w:t xml:space="preserve">What can be measured from the broadcast? Validity of single-camera video for football-kick kinematics and swing-leg joint loads.</w:t>
      </w:r>
      <w:r>
        <w:t xml:space="preserve"> </w:t>
      </w:r>
      <w:r>
        <w:t xml:space="preserve">Section numbers refer to the submitted manuscript.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3787"/>
        <w:gridCol w:w="37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GRRAS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in title or abstract that interrater/intrarater reliability or agreement was investigated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(</w:t>
            </w:r>
            <w:r>
              <w:t xml:space="preserve">“validity”</w:t>
            </w:r>
            <w:r>
              <w:t xml:space="preserve">); abstract (</w:t>
            </w:r>
            <w:r>
              <w:t xml:space="preserve">“method-comparison study”</w:t>
            </w:r>
            <w:r>
              <w:t xml:space="preserve">, agreement against motion capture)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and describe the diagnostic or measurement device of interest explicitly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(broadcast-video pipeline); §2.3 (RTMW-x detector, MotionAGFormer-B lifter, scaling, alignment, contact)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the subject population of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(football players kicking in broadcast matches); §2.1 (laboratory participants as reference population and its limits)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the rater population of interest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applicable: the method is automated (detector + lifter). The reference</w:t>
            </w:r>
            <w:r>
              <w:t xml:space="preserve"> </w:t>
            </w:r>
            <w:r>
              <w:t xml:space="preserve">“rater”</w:t>
            </w:r>
            <w:r>
              <w:t xml:space="preserve"> </w:t>
            </w:r>
            <w:r>
              <w:t xml:space="preserve">is optical motion capture (§2.1)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what is already known about reliability and agreement and provide a rationale for the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the sample size was chosen; state the number of raters, subjects/objects and replicate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 (fixed by the public datasets; 83 participants); §2.1 (7 CMU kicks); §2.3 (5 views × 5 sizes × 2 frame rates; 3 noise seeds for CMU, 1 for MoVi)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sampling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(all CMU kick trials; all MoVi participants with a usable, gap-free kick; all 200 3DSP shots)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measurement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 (features, loads, windows); §2.3 (virtual camera, error models, lifting); §2.4 (real video, digital twin); §2.5 (remedies)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whether measurements were conducted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§2.3: video estimates never used the reference except for scale (thigh length) and one rigid alignment per sequence, which emulate known stature and pitch calibration; the adapted lifter was tested only on unseen participants and held-out broadcast residuals (§2.5)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 (bias, MAE, limits of agreement, ICC(2,1), calibration slope, bootstrap CIs, acceptability criteria, TOST, SPM); §2.8 (injury-study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the actual number of raters and subjects included and the number of replicate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and Table 1; §3.4 (82 participants × 2 cameras); Tables 2–4 (n per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sample characteristics of raters and 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(CMU: 2 participants; MoVi: 83 participants, 55 female, non-footballers, air kicks)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estimates of reliability and agreement including measures of statistical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§3.3–3.7; Tables 2–4 (bias, MAE with 95 % CI, 95 % LoA, ICC with 95 % CI); Supplementary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the practical relevance of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§4.1–4.4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detailed results if possible (e.g., 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file 2 (complete statistical outputs); code and aggregated results in the public repository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file 1 — GRRAS checklist</dc:title>
  <dc:creator/>
  <cp:keywords/>
  <dcterms:created xsi:type="dcterms:W3CDTF">2026-10-17T16:02:14Z</dcterms:created>
  <dcterms:modified xsi:type="dcterms:W3CDTF">2026-10-17T16:02:14Z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Guidelines for Reporting Reliability and Agreement Studies (Kottner et al., 2011)</vt:lpwstr>
  </property>
</Properties>
</file>