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60.png" ContentType="image/png"/>
  <Override PartName="/word/media/rId12.png" ContentType="image/png"/>
  <Override PartName="/word/media/rId175.png" ContentType="image/png"/>
  <Override PartName="/word/media/rId18.png" ContentType="image/png"/>
  <Override PartName="/word/media/rId30.png" ContentType="image/png"/>
  <Override PartName="/word/media/rId35.png" ContentType="image/png"/>
  <Override PartName="/word/media/rId183.png" ContentType="image/png"/>
  <Override PartName="/word/media/rId191.png" ContentType="image/png"/>
  <Override PartName="/word/media/rId199.png" ContentType="image/png"/>
  <Override PartName="/word/media/rId43.png" ContentType="image/png"/>
  <Override PartName="/word/media/rId48.png" ContentType="image/png"/>
  <Override PartName="/word/media/rId53.png" ContentType="image/png"/>
  <Override PartName="/word/media/rId211.png" ContentType="image/png"/>
  <Override PartName="/word/media/rId187.png" ContentType="image/png"/>
  <Override PartName="/word/media/rId179.png" ContentType="image/png"/>
  <Override PartName="/word/media/rId195.png" ContentType="image/png"/>
  <Override PartName="/word/media/rId2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4,349.</w:t>
      </w:r>
    </w:p>
    <w:bookmarkStart w:id="10" w:name="abstract"/>
    <w:p>
      <w:pPr>
        <w:pStyle w:val="Heading1"/>
      </w:pPr>
      <w:r>
        <w:t xml:space="preserve">Abstract</w:t>
      </w:r>
    </w:p>
    <w:p>
      <w:pPr>
        <w:pStyle w:val="FirstParagraph"/>
      </w:pPr>
      <w:r>
        <w:t xml:space="preserve">Professional football now measures the ball,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(80 px, 25 fps) and the published lifter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Smartphone recordings of real kicks reproduced these patterns. Single-camera broadcast video does not yet support individual kicking biomechanics or load-based injury scores; replay fusion and ball-contact timing allow limited ranking uses, pending validation on football-specific data.</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complemented by a field example (Section 2.6),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expressed as z-scores relative to the MoVi laboratory distribution.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t xml:space="preserve">To illustrate the pipeline on genuine football kicks, the author (adult male, 177 cm, 78 kg, recreational right-footed player) performed 13 instep kicks of a stationary ball on an outdoor hard court (8 strong, 5 soft), each filmed once with a smartphone at a fixed position (1920 × 1080 px, 60 fps) from one of four views: lateral (5 kicks), diagonal from behind (4), diagonal from the front (2) and front (2). The player measured 170–241 px (median 199 px). The videos were processed with the same detector and lifter at native resolution and with the player downscaled to 80 px and JPEG-compressed. The reconstruction was scaled with a thigh length of 0.245 × stature</w:t>
      </w:r>
      <w:r>
        <w:t xml:space="preserve"> </w:t>
      </w:r>
      <w:r>
        <w:t xml:space="preserve">(</w:t>
      </w:r>
      <w:hyperlink w:anchor="ref-winter2009">
        <w:r>
          <w:rPr>
            <w:rStyle w:val="Hyperlink"/>
          </w:rPr>
          <w:t xml:space="preserve">Winter 2009</w:t>
        </w:r>
      </w:hyperlink>
      <w:r>
        <w:t xml:space="preserve">)</w:t>
      </w:r>
      <w:r>
        <w:t xml:space="preserve">, the image vertical was taken as the world vertical (level camera), occasional left–right swaps of knee and ankle labels were corrected by temporal continuity (Viterbi; 20 of 10 200 frames), and contact was the speed peak of the right (kicking) ankle. Without motion capture this example tests plausibility — whether strong and soft kicks are told apart — and consistency across resolutions,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above the minimum of 30 heterogeneous samples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5"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0.11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0.61</w:t>
            </w:r>
          </w:p>
        </w:tc>
        <w:tc>
          <w:tcPr/>
          <w:p>
            <w:pPr>
              <w:pStyle w:val="Compact"/>
              <w:jc w:val="right"/>
            </w:pPr>
            <w:r>
              <w:t xml:space="preserve">0.16 (0.05–0.30)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with usable video × 2 cameras) feature errors grew only moderately from native resolution to 50 px (Table 3, Figure 5a). Two features carried large size-independent biases — kicking-hip peak extension (+22 to +25°)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rPr>
          <w:i/>
          <w:iCs/>
        </w:rPr>
        <w:t xml:space="preserve">Replay fusion and bias correction.</w:t>
      </w:r>
      <w:r>
        <w:t xml:space="preserve"> </w:t>
      </w: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rPr>
          <w:i/>
          <w:iCs/>
        </w:rPr>
        <w:t xml:space="preserve">Adapted lifter.</w:t>
      </w:r>
      <w:r>
        <w:t xml:space="preserve"> </w:t>
      </w:r>
      <w:r>
        <w:t xml:space="preserve">Fine-tuning the lifter reduced its 3D error on synthetic broadcast windows of unseen participants by 60–64 % (MPJPE from about 0.09 to 0.033–0.037 player heights). On the virtual camera at 80 px with held-out broadcast residuals the mean feature error fell from 14.7° to 8.3°, and agreement rose for every feature (for example kicking-knee peak flexion ICC 0.64 → 0.82, trunk lateral lean 0.37 → 0.77, support-knee flexion 0.08 → 0.51; Supplementary Figure S8a). On real video downscaled to 80 px the gain was smaller (mean error 15.0° → 13.3°; kicking-hip range of motion ICC 0.67 → 0.76, kicking-knee peak flexion 0.56 → 0.67), and support-knee flexion worsened (12.5° → 14.6°). On the CMU ball kicks, absent from training, the adapted lifter was worse than the official one (mean error 11.8° → 16.7°; kicking-hip range of motion 18.2° → 33.0°; Supplementary Figure S8b). Joint loads remained unreliable (ICC ≤ 0.41).</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(0.749, 0.61–0.85), and both trunk leans agreed with laboratory values within 5°. With the adapted lifter a single simulated camera sufficed for kicking-knee peak flexion and trunk lateral lean to rank players, and on real video at 80 px kicking-hip range of motion became fit for ranking (ICC 0.76, 0.68–0.83); with the official lifter, only trunk lateral lean met a criterion on real video (comparison with norms; MAE 3.8°). No variable, in any condition, could monitor an individual player (random errors 2.7 to 16.5 times the smallest worthwhile change), and no joint load met any criterion.</w:t>
      </w:r>
    </w:p>
    <w:bookmarkStart w:id="58" w:name="tbl:accept"/>
    <w:p>
      <w:pPr>
        <w:pStyle w:val="TableCaption"/>
      </w:pPr>
      <w:r>
        <w:t xml:space="preserve">Table 4. Fitness for use against literature-based criteria (MoVi; 80 px, 25 fps, known contact). Each cell gives the uses met and, in brackets, MAE (° or N·m/kg) and ICC(2,1);</w:t>
      </w:r>
      <w:r>
        <w:t xml:space="preserve"> </w:t>
      </w:r>
      <w:r>
        <w:t xml:space="preserve">“—”</w:t>
      </w:r>
      <w:r>
        <w:t xml:space="preserve">: no use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w:t>
      </w:r>
    </w:p>
    <w:tbl>
      <w:tblPr>
        <w:tblStyle w:val="Table"/>
        <w:tblW w:type="pct" w:w="5000"/>
        <w:tblLayout w:type="fixed"/>
        <w:tblLook w:firstRow="1" w:lastRow="0" w:firstColumn="0" w:lastColumn="0" w:noHBand="0" w:noVBand="0" w:val="0020"/>
        <w:tblCaption w:val="Table 4. Fitness for use against literature-based criteria (MoVi; 80 px, 25 fps, known contact). Each cell gives the uses met and, in brackets, MAE (° or N·m/kg) and ICC(2,1); “—”: no use met. Norms: comparison with laboratory norms (angles: MAE ≤ 5° and bias equivalent to zero within ±5°, TOST); ranking: ranking players (ICC ≥ 0.75 with lower 95 % limit ≥ 0.5). No variable met the monitoring criterion (random error ≤ 0.2 between-player SD) in any condition. The first three columns are simulated (virtual camera, broadcast residuals, replay views; the adapted lifter with held-out residuals); 95 % confidence intervals are in Supplementary file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Single camera</w:t>
            </w:r>
          </w:p>
        </w:tc>
        <w:tc>
          <w:tcPr/>
          <w:p>
            <w:pPr>
              <w:pStyle w:val="Compact"/>
              <w:jc w:val="left"/>
            </w:pPr>
            <w:r>
              <w:t xml:space="preserve">3 replays + correction</w:t>
            </w:r>
          </w:p>
        </w:tc>
        <w:tc>
          <w:tcPr/>
          <w:p>
            <w:pPr>
              <w:pStyle w:val="Compact"/>
              <w:jc w:val="left"/>
            </w:pPr>
            <w:r>
              <w:t xml:space="preserve">Single camera, adapted lifter</w:t>
            </w:r>
          </w:p>
        </w:tc>
        <w:tc>
          <w:tcPr/>
          <w:p>
            <w:pPr>
              <w:pStyle w:val="Compact"/>
              <w:jc w:val="left"/>
            </w:pPr>
            <w:r>
              <w:t xml:space="preserve">Real video</w:t>
            </w:r>
          </w:p>
        </w:tc>
        <w:tc>
          <w:tcPr/>
          <w:p>
            <w:pPr>
              <w:pStyle w:val="Compact"/>
              <w:jc w:val="left"/>
            </w:pPr>
            <w:r>
              <w:t xml:space="preserve">Real video, adapted lifter</w:t>
            </w:r>
          </w:p>
        </w:tc>
      </w:tr>
      <w:tr>
        <w:tc>
          <w:tcPr/>
          <w:p>
            <w:pPr>
              <w:pStyle w:val="Compact"/>
              <w:jc w:val="left"/>
            </w:pPr>
            <w:r>
              <w:t xml:space="preserve">Support-knee flexion at contact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Kicking-knee peak flexion (°)</w:t>
            </w:r>
          </w:p>
        </w:tc>
        <w:tc>
          <w:tcPr/>
          <w:p>
            <w:pPr>
              <w:pStyle w:val="Compact"/>
              <w:jc w:val="left"/>
            </w:pPr>
            <w:r>
              <w:t xml:space="preserve">— (16.5°; 0.64)</w:t>
            </w:r>
          </w:p>
        </w:tc>
        <w:tc>
          <w:tcPr/>
          <w:p>
            <w:pPr>
              <w:pStyle w:val="Compact"/>
              <w:jc w:val="left"/>
            </w:pPr>
            <w:r>
              <w:rPr>
                <w:b/>
                <w:bCs/>
              </w:rPr>
              <w:t xml:space="preserve">ranking</w:t>
            </w:r>
            <w:r>
              <w:t xml:space="preserve"> </w:t>
            </w:r>
            <w:r>
              <w:t xml:space="preserve">(12.3°; 0.80)</w:t>
            </w:r>
          </w:p>
        </w:tc>
        <w:tc>
          <w:tcPr/>
          <w:p>
            <w:pPr>
              <w:pStyle w:val="Compact"/>
              <w:jc w:val="left"/>
            </w:pPr>
            <w:r>
              <w:rPr>
                <w:b/>
                <w:bCs/>
              </w:rPr>
              <w:t xml:space="preserve">ranking</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Kicking-hip peak extension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Kicking-hip range of motion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ranking</w:t>
            </w:r>
            <w:r>
              <w:t xml:space="preserve"> </w:t>
            </w:r>
            <w:r>
              <w:t xml:space="preserve">(12.6°; 0.76)</w:t>
            </w:r>
          </w:p>
        </w:tc>
      </w:tr>
      <w:tr>
        <w:tc>
          <w:tcPr/>
          <w:p>
            <w:pPr>
              <w:pStyle w:val="Compact"/>
              <w:jc w:val="left"/>
            </w:pPr>
            <w:r>
              <w:t xml:space="preserve">Trunk sagittal lean at contact (°)</w:t>
            </w:r>
          </w:p>
        </w:tc>
        <w:tc>
          <w:tcPr/>
          <w:p>
            <w:pPr>
              <w:pStyle w:val="Compact"/>
              <w:jc w:val="left"/>
            </w:pPr>
            <w:r>
              <w:t xml:space="preserve">— (7.1°; 0.42)</w:t>
            </w:r>
          </w:p>
        </w:tc>
        <w:tc>
          <w:tcPr/>
          <w:p>
            <w:pPr>
              <w:pStyle w:val="Compact"/>
              <w:jc w:val="left"/>
            </w:pPr>
            <w:r>
              <w:rPr>
                <w:b/>
                <w:bCs/>
              </w:rPr>
              <w:t xml:space="preserve">norms</w:t>
            </w:r>
            <w:r>
              <w:t xml:space="preserve"> </w:t>
            </w:r>
            <w:r>
              <w:t xml:space="preserve">(3.8°; 0.64)</w:t>
            </w:r>
          </w:p>
        </w:tc>
        <w:tc>
          <w:tcPr/>
          <w:p>
            <w:pPr>
              <w:pStyle w:val="Compact"/>
              <w:jc w:val="left"/>
            </w:pPr>
            <w:r>
              <w:rPr>
                <w:b/>
                <w:bCs/>
              </w:rPr>
              <w:t xml:space="preserve">norms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Trunk lateral lean at contact (°)</w:t>
            </w:r>
          </w:p>
        </w:tc>
        <w:tc>
          <w:tcPr/>
          <w:p>
            <w:pPr>
              <w:pStyle w:val="Compact"/>
              <w:jc w:val="left"/>
            </w:pPr>
            <w:r>
              <w:t xml:space="preserve">— (7.0°; 0.42)</w:t>
            </w:r>
          </w:p>
        </w:tc>
        <w:tc>
          <w:tcPr/>
          <w:p>
            <w:pPr>
              <w:pStyle w:val="Compact"/>
              <w:jc w:val="left"/>
            </w:pPr>
            <w:r>
              <w:rPr>
                <w:b/>
                <w:bCs/>
              </w:rPr>
              <w:t xml:space="preserve">norms</w:t>
            </w:r>
            <w:r>
              <w:t xml:space="preserve"> </w:t>
            </w:r>
            <w:r>
              <w:t xml:space="preserve">(4.6°; 0.56)</w:t>
            </w:r>
          </w:p>
        </w:tc>
        <w:tc>
          <w:tcPr/>
          <w:p>
            <w:pPr>
              <w:pStyle w:val="Compact"/>
              <w:jc w:val="left"/>
            </w:pPr>
            <w:r>
              <w:rPr>
                <w:b/>
                <w:bCs/>
              </w:rPr>
              <w:t xml:space="preserve">norms + ranking</w:t>
            </w:r>
            <w:r>
              <w:t xml:space="preserve"> </w:t>
            </w:r>
            <w:r>
              <w:t xml:space="preserve">(3.6°; 0.77)</w:t>
            </w:r>
          </w:p>
        </w:tc>
        <w:tc>
          <w:tcPr/>
          <w:p>
            <w:pPr>
              <w:pStyle w:val="Compact"/>
              <w:jc w:val="left"/>
            </w:pPr>
            <w:r>
              <w:rPr>
                <w:b/>
                <w:bCs/>
              </w:rPr>
              <w:t xml:space="preserve">norms</w:t>
            </w:r>
            <w:r>
              <w:t xml:space="preserve"> </w:t>
            </w:r>
            <w:r>
              <w:t xml:space="preserve">(3.8°; 0.71)</w:t>
            </w:r>
          </w:p>
        </w:tc>
        <w:tc>
          <w:tcPr/>
          <w:p>
            <w:pPr>
              <w:pStyle w:val="Compact"/>
              <w:jc w:val="left"/>
            </w:pPr>
            <w:r>
              <w:rPr>
                <w:b/>
                <w:bCs/>
              </w:rPr>
              <w:t xml:space="preserve">norms</w:t>
            </w:r>
            <w:r>
              <w:t xml:space="preserve"> </w:t>
            </w:r>
            <w:r>
              <w:t xml:space="preserve">(4.1°; 0.747)</w:t>
            </w:r>
          </w:p>
        </w:tc>
      </w:tr>
      <w:tr>
        <w:tc>
          <w:tcPr/>
          <w:p>
            <w:pPr>
              <w:pStyle w:val="Compact"/>
              <w:jc w:val="left"/>
            </w:pPr>
            <w:r>
              <w:t xml:space="preserve">Peak hip-flexor moment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Peak knee-extensor moment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Peak knee-flexor moment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58"/>
    <w:bookmarkEnd w:id="59"/>
    <w:bookmarkStart w:id="64" w:name="field-example-1"/>
    <w:p>
      <w:pPr>
        <w:pStyle w:val="Heading2"/>
      </w:pPr>
      <w:r>
        <w:t xml:space="preserve">3.8 Field example</w:t>
      </w:r>
    </w:p>
    <w:p>
      <w:pPr>
        <w:pStyle w:val="FirstParagraph"/>
      </w:pPr>
      <w:r>
        <w:t xml:space="preserve">From the lateral and diagonal-behind views (Figure 8), strong kicks were told apart from soft ones by peak kicking-ankle speed (mean 12.0 m/s, range 8.9–14.7, versus 8.7 m/s, 8.0–10.4), kicking-knee peak flexion (93° versus 72°) and kicking-hip range of motion (113° versus 85°), and the ankle speeds were similar to those of the laboratory ball kicks (10.2–13.1 m/s). From the front the ordering was lost (6.7 m/s for the strong kick versus 8.1 m/s for the soft one) and kicking-hip peak extension became implausible (−32° and −25°), as the simulation predicted for frontal views (Supplementary Figure S9). Downscaling the player to 80 px changed knee peak flexion, hip extension and trunk leans by 1.4–3.4° on average and ankle speed by 1.1 m/s, but biased support-knee flexion (+7.6° on average, up to 24°). The estimated swing-leg moments, in contrast, were implausible: peak hip-flexor moments of 2.0–5.4 N·m/kg, well above the 1.0–2.0 N·m/kg of the laboratory ball kicks, and a soft kick could carry the same estimated load as a strong one (3.5 versus 3.6 N·m/kg; Supplementary Figure S10).</w:t>
      </w:r>
    </w:p>
    <w:bookmarkStart w:id="63" w:name="fig:field"/>
    <w:p>
      <w:pPr>
        <w:pStyle w:val="CaptionedFigure"/>
      </w:pPr>
      <w:r>
        <w:drawing>
          <wp:inline>
            <wp:extent cx="5334000" cy="4557365"/>
            <wp:effectExtent b="0" l="0" r="0" t="0"/>
            <wp:docPr descr="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 title="" id="61" name="Picture"/>
            <a:graphic>
              <a:graphicData uri="http://schemas.openxmlformats.org/drawingml/2006/picture">
                <pic:pic>
                  <pic:nvPicPr>
                    <pic:cNvPr descr="../../resultados/paper/fig11_field.png" id="62" name="Picture"/>
                    <pic:cNvPicPr>
                      <a:picLocks noChangeArrowheads="1" noChangeAspect="1"/>
                    </pic:cNvPicPr>
                  </pic:nvPicPr>
                  <pic:blipFill>
                    <a:blip r:embed="rId60"/>
                    <a:stretch>
                      <a:fillRect/>
                    </a:stretch>
                  </pic:blipFill>
                  <pic:spPr bwMode="auto">
                    <a:xfrm>
                      <a:off x="0" y="0"/>
                      <a:ext cx="5334000" cy="4557365"/>
                    </a:xfrm>
                    <a:prstGeom prst="rect">
                      <a:avLst/>
                    </a:prstGeom>
                    <a:noFill/>
                    <a:ln w="9525">
                      <a:noFill/>
                      <a:headEnd/>
                      <a:tailEnd/>
                    </a:ln>
                  </pic:spPr>
                </pic:pic>
              </a:graphicData>
            </a:graphic>
          </wp:inline>
        </w:drawing>
      </w:r>
    </w:p>
    <w:p>
      <w:pPr>
        <w:pStyle w:val="ImageCaption"/>
      </w:pPr>
      <w:r>
        <w:t xml:space="preserve">Figure 8. Field example: the author’s kicks filmed with a smartphone (1080p, 60 fps; player about 200 px tall). (a) A strong kick from the lateral view at four instants, with the 2D skeleton detected by RTMW-x; thigh and shank of the kicking leg are coloured by the net hip and knee moment estimated by inverse dynamics, relative to the largest value in the player’s strong kicks — an illustration of where and when the load concentrates, not a validated injury risk, because video-based moments are inflated (Section 3.5). (b) Kicking-knee and kicking-hip flexion and kicking-ankle speed around contact for the strong (red, n = 3) and soft (blue, n = 2) lateral kicks; thin lines: individual kicks; thick lines: mean.</w:t>
      </w:r>
    </w:p>
    <w:bookmarkEnd w:id="63"/>
    <w:bookmarkEnd w:id="64"/>
    <w:bookmarkEnd w:id="65"/>
    <w:bookmarkStart w:id="72" w:name="discussion"/>
    <w:p>
      <w:pPr>
        <w:pStyle w:val="Heading1"/>
      </w:pPr>
      <w:r>
        <w:t xml:space="preserve">4. Discussion</w:t>
      </w:r>
    </w:p>
    <w:bookmarkStart w:id="66"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(random errors at least 2.7 times the smallest worthwhile change). Finally, Gaussian noise of the right magnitude over-stated errors by up to 1.8 times, so simulation studies of video biomechanics should use real residual sequences or, better, check themselves against real images, as our digital twin did. The field example reproduced these patterns on genuine ball kicks filmed with a phone: kick intensity was visible in ankle speed and posture from side and rear-diagonal views but not from the front, and the inverse-dynamics loads were implausible.</w:t>
      </w:r>
    </w:p>
    <w:bookmarkEnd w:id="66"/>
    <w:bookmarkStart w:id="67"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 and a lifter adapted to kicking under broadcast noise, which improved unseen air kicks in simulation and on real images, degraded the ball kicks.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7"/>
    <w:bookmarkStart w:id="68"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8"/>
    <w:bookmarkStart w:id="69"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9"/>
    <w:bookmarkStart w:id="70"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The field example involves one recreational player and no reference, and its player size (about 200 px) is closer to a broadcast close-up than to a wide shot. We evaluated one detector and one lifter, which is why the benchmark is released.</w:t>
      </w:r>
    </w:p>
    <w:bookmarkEnd w:id="70"/>
    <w:bookmarkStart w:id="71" w:name="conclusions"/>
    <w:p>
      <w:pPr>
        <w:pStyle w:val="Heading2"/>
      </w:pPr>
      <w:r>
        <w:t xml:space="preserve">4.6 Conclusions</w:t>
      </w:r>
    </w:p>
    <w:p>
      <w:pPr>
        <w:pStyle w:val="FirstParagraph"/>
      </w:pPr>
      <w:r>
        <w:t xml:space="preserve">Broadcast detection error, about 10 % of a typical shooter’s height, is the bottleneck. With a published general-purpose lifter, no kicking variable measured from a single broadcast camera is fit for comparison with laboratory norms, ranking players or monitoring individuals; fusing replays, adapting the lifter and anchoring kicks to the ball’s contact time make a few variables usable for ranking or comparison with norms, but none for monitoring an individual. A swing-leg joint-load index is valid in the laboratory but not measurable from broadcast today, and validating it as an injury predictor would require football-specific data to raise its reliability first.</w:t>
      </w:r>
    </w:p>
    <w:bookmarkEnd w:id="71"/>
    <w:bookmarkEnd w:id="72"/>
    <w:bookmarkStart w:id="73"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The author thanks the BioMotion Lab (MoVi), the authors of 3DSP/AutoSoccerPose and SoccerNet, OpenMMLab (RTMW, YOLOX) and the authors of MotionAGFormer for releasing their data and models.</w:t>
      </w:r>
    </w:p>
    <w:bookmarkEnd w:id="73"/>
    <w:bookmarkStart w:id="74"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4"/>
    <w:bookmarkStart w:id="75" w:name="funding"/>
    <w:p>
      <w:pPr>
        <w:pStyle w:val="Heading1"/>
      </w:pPr>
      <w:r>
        <w:t xml:space="preserve">Funding</w:t>
      </w:r>
    </w:p>
    <w:p>
      <w:pPr>
        <w:pStyle w:val="FirstParagraph"/>
      </w:pPr>
      <w:r>
        <w:t xml:space="preserve">No funding was obtained for this work.</w:t>
      </w:r>
    </w:p>
    <w:bookmarkEnd w:id="75"/>
    <w:bookmarkStart w:id="76"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6"/>
    <w:bookmarkStart w:id="77" w:name="declaration-of-generative-ai-use"/>
    <w:p>
      <w:pPr>
        <w:pStyle w:val="Heading1"/>
      </w:pPr>
      <w:r>
        <w:t xml:space="preserve">Declaration of generative AI use</w:t>
      </w:r>
    </w:p>
    <w:p>
      <w:pPr>
        <w:pStyle w:val="FirstParagraph"/>
      </w:pPr>
      <w:r>
        <w:t xml:space="preserve">Generative AI (Claude, Anthropic, used through Claude Code) assisted extensively with the development of the analysis code, the execution and documentation of the analyses, the production of the figures, and the drafting, editing and Spanish translation of the manuscript. The author reviewed all code, outputs and text, verified the analyses and takes full responsibility for the content.</w:t>
      </w:r>
    </w:p>
    <w:bookmarkEnd w:id="77"/>
    <w:bookmarkStart w:id="78"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 The field-example videos show the author and are available from him on request; the per-kick results are in the repository.</w:t>
      </w:r>
    </w:p>
    <w:bookmarkEnd w:id="78"/>
    <w:bookmarkStart w:id="79"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9"/>
    <w:bookmarkStart w:id="80"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80"/>
    <w:bookmarkStart w:id="81"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81"/>
    <w:bookmarkStart w:id="174" w:name="references"/>
    <w:p>
      <w:pPr>
        <w:pStyle w:val="Heading1"/>
      </w:pPr>
      <w:r>
        <w:t xml:space="preserve">References</w:t>
      </w:r>
    </w:p>
    <w:bookmarkStart w:id="173" w:name="refs"/>
    <w:bookmarkStart w:id="83"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2">
        <w:r>
          <w:rPr>
            <w:rStyle w:val="Hyperlink"/>
          </w:rPr>
          <w:t xml:space="preserve">https://doi.org/10.1080/02640410500386050</w:t>
        </w:r>
      </w:hyperlink>
      <w:r>
        <w:t xml:space="preserve">.</w:t>
      </w:r>
    </w:p>
    <w:bookmarkEnd w:id="83"/>
    <w:bookmarkStart w:id="85"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4">
        <w:r>
          <w:rPr>
            <w:rStyle w:val="Hyperlink"/>
          </w:rPr>
          <w:t xml:space="preserve">https://doi.org/10.1109/CVPRW59228.2023.00539</w:t>
        </w:r>
      </w:hyperlink>
      <w:r>
        <w:t xml:space="preserve">.</w:t>
      </w:r>
    </w:p>
    <w:bookmarkEnd w:id="85"/>
    <w:bookmarkStart w:id="8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6">
        <w:r>
          <w:rPr>
            <w:rStyle w:val="Hyperlink"/>
          </w:rPr>
          <w:t xml:space="preserve">https://doi.org/10.1016/S0140-6736(86)90837-8</w:t>
        </w:r>
      </w:hyperlink>
      <w:r>
        <w:t xml:space="preserve">.</w:t>
      </w:r>
    </w:p>
    <w:bookmarkEnd w:id="87"/>
    <w:bookmarkStart w:id="89"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8">
        <w:r>
          <w:rPr>
            <w:rStyle w:val="Hyperlink"/>
          </w:rPr>
          <w:t xml:space="preserve">Http://mocap.cs.cmu.edu</w:t>
        </w:r>
      </w:hyperlink>
      <w:r>
        <w:t xml:space="preserve">.</w:t>
      </w:r>
    </w:p>
    <w:bookmarkEnd w:id="89"/>
    <w:bookmarkStart w:id="91"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0">
        <w:r>
          <w:rPr>
            <w:rStyle w:val="Hyperlink"/>
          </w:rPr>
          <w:t xml:space="preserve">https://doi.org/10.1080/14763140903229500</w:t>
        </w:r>
      </w:hyperlink>
      <w:r>
        <w:t xml:space="preserve">.</w:t>
      </w:r>
    </w:p>
    <w:bookmarkEnd w:id="91"/>
    <w:bookmarkStart w:id="93"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2">
        <w:r>
          <w:rPr>
            <w:rStyle w:val="Hyperlink"/>
          </w:rPr>
          <w:t xml:space="preserve">https://doi.org/10.1016/0021-9290(95)00178-6</w:t>
        </w:r>
      </w:hyperlink>
      <w:r>
        <w:t xml:space="preserve">.</w:t>
      </w:r>
    </w:p>
    <w:bookmarkEnd w:id="93"/>
    <w:bookmarkStart w:id="95"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4">
        <w:r>
          <w:rPr>
            <w:rStyle w:val="Hyperlink"/>
          </w:rPr>
          <w:t xml:space="preserve">https://doi.org/10.1109/CVPRW53098.2021.00508</w:t>
        </w:r>
      </w:hyperlink>
      <w:r>
        <w:t xml:space="preserve">.</w:t>
      </w:r>
    </w:p>
    <w:bookmarkEnd w:id="95"/>
    <w:bookmarkStart w:id="97"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6">
        <w:r>
          <w:rPr>
            <w:rStyle w:val="Hyperlink"/>
          </w:rPr>
          <w:t xml:space="preserve">https://doi.org/10.1080/026404102753576062</w:t>
        </w:r>
      </w:hyperlink>
      <w:r>
        <w:t xml:space="preserve">.</w:t>
      </w:r>
    </w:p>
    <w:bookmarkEnd w:id="97"/>
    <w:bookmarkStart w:id="99"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8">
        <w:r>
          <w:rPr>
            <w:rStyle w:val="Hyperlink"/>
          </w:rPr>
          <w:t xml:space="preserve">https://doi.org/10.1177/0363546510395879</w:t>
        </w:r>
      </w:hyperlink>
      <w:r>
        <w:t xml:space="preserve">.</w:t>
      </w:r>
    </w:p>
    <w:bookmarkEnd w:id="99"/>
    <w:bookmarkStart w:id="101"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0">
        <w:r>
          <w:rPr>
            <w:rStyle w:val="Hyperlink"/>
          </w:rPr>
          <w:t xml:space="preserve">https://doi.org/10.48550/arXiv.2107.08430</w:t>
        </w:r>
      </w:hyperlink>
      <w:r>
        <w:t xml:space="preserve">.</w:t>
      </w:r>
    </w:p>
    <w:bookmarkEnd w:id="101"/>
    <w:bookmarkStart w:id="103"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2">
        <w:r>
          <w:rPr>
            <w:rStyle w:val="Hyperlink"/>
          </w:rPr>
          <w:t xml:space="preserve">https://doi.org/10.1371/journal.pone.0253157</w:t>
        </w:r>
      </w:hyperlink>
      <w:r>
        <w:t xml:space="preserve">.</w:t>
      </w:r>
    </w:p>
    <w:bookmarkEnd w:id="103"/>
    <w:bookmarkStart w:id="105"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4">
        <w:r>
          <w:rPr>
            <w:rStyle w:val="Hyperlink"/>
          </w:rPr>
          <w:t xml:space="preserve">https://doi.org/10.1249/MSS.0b013e31818cb278</w:t>
        </w:r>
      </w:hyperlink>
      <w:r>
        <w:t xml:space="preserve">.</w:t>
      </w:r>
    </w:p>
    <w:bookmarkEnd w:id="105"/>
    <w:bookmarkStart w:id="107"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6">
        <w:r>
          <w:rPr>
            <w:rStyle w:val="Hyperlink"/>
          </w:rPr>
          <w:t xml:space="preserve">https://doi.org/10.1136/bmj.c2289</w:t>
        </w:r>
      </w:hyperlink>
      <w:r>
        <w:t xml:space="preserve">.</w:t>
      </w:r>
    </w:p>
    <w:bookmarkEnd w:id="107"/>
    <w:bookmarkStart w:id="109"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8">
        <w:r>
          <w:rPr>
            <w:rStyle w:val="Hyperlink"/>
          </w:rPr>
          <w:t xml:space="preserve">https://doi.org/10.1109/TPAMI.2013.248</w:t>
        </w:r>
      </w:hyperlink>
      <w:r>
        <w:t xml:space="preserve">.</w:t>
      </w:r>
    </w:p>
    <w:bookmarkEnd w:id="109"/>
    <w:bookmarkStart w:id="111"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0">
        <w:r>
          <w:rPr>
            <w:rStyle w:val="Hyperlink"/>
          </w:rPr>
          <w:t xml:space="preserve">https://doi.org/10.48550/arXiv.2303.07399</w:t>
        </w:r>
      </w:hyperlink>
      <w:r>
        <w:t xml:space="preserve">.</w:t>
      </w:r>
    </w:p>
    <w:bookmarkEnd w:id="111"/>
    <w:bookmarkStart w:id="113"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2">
        <w:r>
          <w:rPr>
            <w:rStyle w:val="Hyperlink"/>
          </w:rPr>
          <w:t xml:space="preserve">https://doi.org/10.48550/arXiv.2407.08634</w:t>
        </w:r>
      </w:hyperlink>
      <w:r>
        <w:t xml:space="preserve">.</w:t>
      </w:r>
    </w:p>
    <w:bookmarkEnd w:id="113"/>
    <w:bookmarkStart w:id="115"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4">
        <w:r>
          <w:rPr>
            <w:rStyle w:val="Hyperlink"/>
          </w:rPr>
          <w:t xml:space="preserve">https://doi.org/10.1007/978-3-031-72655-2_20</w:t>
        </w:r>
      </w:hyperlink>
      <w:r>
        <w:t xml:space="preserve">.</w:t>
      </w:r>
    </w:p>
    <w:bookmarkEnd w:id="115"/>
    <w:bookmarkStart w:id="117"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6">
        <w:r>
          <w:rPr>
            <w:rStyle w:val="Hyperlink"/>
          </w:rPr>
          <w:t xml:space="preserve">https://doi.org/10.1016/j.jbiomech.2021.110665</w:t>
        </w:r>
      </w:hyperlink>
      <w:r>
        <w:t xml:space="preserve">.</w:t>
      </w:r>
    </w:p>
    <w:bookmarkEnd w:id="117"/>
    <w:bookmarkStart w:id="118"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18"/>
    <w:bookmarkStart w:id="120"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9">
        <w:r>
          <w:rPr>
            <w:rStyle w:val="Hyperlink"/>
          </w:rPr>
          <w:t xml:space="preserve">https://doi.org/10.48550/arXiv.2609.10498</w:t>
        </w:r>
      </w:hyperlink>
      <w:r>
        <w:t xml:space="preserve">.</w:t>
      </w:r>
    </w:p>
    <w:bookmarkEnd w:id="120"/>
    <w:bookmarkStart w:id="122"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1">
        <w:r>
          <w:rPr>
            <w:rStyle w:val="Hyperlink"/>
          </w:rPr>
          <w:t xml:space="preserve">https://doi.org/10.1016/j.jcm.2016.02.012</w:t>
        </w:r>
      </w:hyperlink>
      <w:r>
        <w:t xml:space="preserve">.</w:t>
      </w:r>
    </w:p>
    <w:bookmarkEnd w:id="122"/>
    <w:bookmarkStart w:id="124"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23">
        <w:r>
          <w:rPr>
            <w:rStyle w:val="Hyperlink"/>
          </w:rPr>
          <w:t xml:space="preserve">https://doi.org/10.1016/j.jclinepi.2010.03.002</w:t>
        </w:r>
      </w:hyperlink>
      <w:r>
        <w:t xml:space="preserve">.</w:t>
      </w:r>
    </w:p>
    <w:bookmarkEnd w:id="124"/>
    <w:bookmarkStart w:id="126"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5">
        <w:r>
          <w:rPr>
            <w:rStyle w:val="Hyperlink"/>
          </w:rPr>
          <w:t xml:space="preserve">https://doi.org/10.1177/1948550617697177</w:t>
        </w:r>
      </w:hyperlink>
      <w:r>
        <w:t xml:space="preserve">.</w:t>
      </w:r>
    </w:p>
    <w:bookmarkEnd w:id="126"/>
    <w:bookmarkStart w:id="128"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7">
        <w:r>
          <w:rPr>
            <w:rStyle w:val="Hyperlink"/>
          </w:rPr>
          <w:t xml:space="preserve">Https://www.laliga.com/en-GB/news/laliga-ea-sports-becomes-the-first-national-football-competition-to-roll-out-connected-ball-technology-across-all-its-matches</w:t>
        </w:r>
      </w:hyperlink>
      <w:r>
        <w:t xml:space="preserve">.</w:t>
      </w:r>
    </w:p>
    <w:bookmarkEnd w:id="128"/>
    <w:bookmarkStart w:id="130"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29">
        <w:r>
          <w:rPr>
            <w:rStyle w:val="Hyperlink"/>
          </w:rPr>
          <w:t xml:space="preserve">https://doi.org/10.1080/02640414.2010.481305</w:t>
        </w:r>
      </w:hyperlink>
      <w:r>
        <w:t xml:space="preserve">.</w:t>
      </w:r>
    </w:p>
    <w:bookmarkEnd w:id="130"/>
    <w:bookmarkStart w:id="132"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31">
        <w:r>
          <w:rPr>
            <w:rStyle w:val="Hyperlink"/>
          </w:rPr>
          <w:t xml:space="preserve">https://doi.org/10.1016/j.gaitpost.2008.09.003</w:t>
        </w:r>
      </w:hyperlink>
      <w:r>
        <w:t xml:space="preserve">.</w:t>
      </w:r>
    </w:p>
    <w:bookmarkEnd w:id="132"/>
    <w:bookmarkStart w:id="134"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3">
        <w:r>
          <w:rPr>
            <w:rStyle w:val="Hyperlink"/>
          </w:rPr>
          <w:t xml:space="preserve">https://doi.org/10.1109/WACV57701.2024.00677</w:t>
        </w:r>
      </w:hyperlink>
      <w:r>
        <w:t xml:space="preserve">.</w:t>
      </w:r>
    </w:p>
    <w:bookmarkEnd w:id="134"/>
    <w:bookmarkStart w:id="136"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5">
        <w:r>
          <w:rPr>
            <w:rStyle w:val="Hyperlink"/>
          </w:rPr>
          <w:t xml:space="preserve">https://doi.org/10.1136/bjsports-2012-091250</w:t>
        </w:r>
      </w:hyperlink>
      <w:r>
        <w:t xml:space="preserve">.</w:t>
      </w:r>
    </w:p>
    <w:bookmarkEnd w:id="136"/>
    <w:bookmarkStart w:id="138"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7">
        <w:r>
          <w:rPr>
            <w:rStyle w:val="Hyperlink"/>
          </w:rPr>
          <w:t xml:space="preserve">https://doi.org/10.1038/s41598-021-00212-x</w:t>
        </w:r>
      </w:hyperlink>
      <w:r>
        <w:t xml:space="preserve">.</w:t>
      </w:r>
    </w:p>
    <w:bookmarkEnd w:id="138"/>
    <w:bookmarkStart w:id="140"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39">
        <w:r>
          <w:rPr>
            <w:rStyle w:val="Hyperlink"/>
          </w:rPr>
          <w:t xml:space="preserve">https://doi.org/10.1002/hbm.1058</w:t>
        </w:r>
      </w:hyperlink>
      <w:r>
        <w:t xml:space="preserve">.</w:t>
      </w:r>
    </w:p>
    <w:bookmarkEnd w:id="140"/>
    <w:bookmarkStart w:id="142"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41">
        <w:r>
          <w:rPr>
            <w:rStyle w:val="Hyperlink"/>
          </w:rPr>
          <w:t xml:space="preserve">https://doi.org/10.1109/ICCVW69036.2025.00287</w:t>
        </w:r>
      </w:hyperlink>
      <w:r>
        <w:t xml:space="preserve">.</w:t>
      </w:r>
    </w:p>
    <w:bookmarkEnd w:id="142"/>
    <w:bookmarkStart w:id="144"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3">
        <w:r>
          <w:rPr>
            <w:rStyle w:val="Hyperlink"/>
          </w:rPr>
          <w:t xml:space="preserve">https://doi.org/10.1097/00005768-200212000-00025</w:t>
        </w:r>
      </w:hyperlink>
      <w:r>
        <w:t xml:space="preserve">.</w:t>
      </w:r>
    </w:p>
    <w:bookmarkEnd w:id="144"/>
    <w:bookmarkStart w:id="146"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5">
        <w:r>
          <w:rPr>
            <w:rStyle w:val="Hyperlink"/>
          </w:rPr>
          <w:t xml:space="preserve">https://doi.org/10.3390/ijerph19031179</w:t>
        </w:r>
      </w:hyperlink>
      <w:r>
        <w:t xml:space="preserve">.</w:t>
      </w:r>
    </w:p>
    <w:bookmarkEnd w:id="146"/>
    <w:bookmarkStart w:id="148"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7">
        <w:r>
          <w:rPr>
            <w:rStyle w:val="Hyperlink"/>
          </w:rPr>
          <w:t xml:space="preserve">https://doi.org/10.1080/10255842.2010.527837</w:t>
        </w:r>
      </w:hyperlink>
      <w:r>
        <w:t xml:space="preserve">.</w:t>
      </w:r>
    </w:p>
    <w:bookmarkEnd w:id="148"/>
    <w:bookmarkStart w:id="150"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49">
        <w:r>
          <w:rPr>
            <w:rStyle w:val="Hyperlink"/>
          </w:rPr>
          <w:t xml:space="preserve">https://doi.org/10.1016/j.jbiomech.2015.02.051</w:t>
        </w:r>
      </w:hyperlink>
      <w:r>
        <w:t xml:space="preserve">.</w:t>
      </w:r>
    </w:p>
    <w:bookmarkEnd w:id="150"/>
    <w:bookmarkStart w:id="152"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51">
        <w:r>
          <w:rPr>
            <w:rStyle w:val="Hyperlink"/>
          </w:rPr>
          <w:t xml:space="preserve">https://doi.org/10.2307/2531021</w:t>
        </w:r>
      </w:hyperlink>
      <w:r>
        <w:t xml:space="preserve">.</w:t>
      </w:r>
    </w:p>
    <w:bookmarkEnd w:id="152"/>
    <w:bookmarkStart w:id="154"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53">
        <w:r>
          <w:rPr>
            <w:rStyle w:val="Hyperlink"/>
          </w:rPr>
          <w:t xml:space="preserve">https://doi.org/10.1007/BF01068419</w:t>
        </w:r>
      </w:hyperlink>
      <w:r>
        <w:t xml:space="preserve">.</w:t>
      </w:r>
    </w:p>
    <w:bookmarkEnd w:id="154"/>
    <w:bookmarkStart w:id="156"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5">
        <w:r>
          <w:rPr>
            <w:rStyle w:val="Hyperlink"/>
          </w:rPr>
          <w:t xml:space="preserve">https://doi.org/10.1136/bjsports-2018-099246</w:t>
        </w:r>
      </w:hyperlink>
      <w:r>
        <w:t xml:space="preserve">.</w:t>
      </w:r>
    </w:p>
    <w:bookmarkEnd w:id="156"/>
    <w:bookmarkStart w:id="158"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7">
        <w:r>
          <w:rPr>
            <w:rStyle w:val="Hyperlink"/>
          </w:rPr>
          <w:t xml:space="preserve">https://doi.org/10.1080/14763140508522852</w:t>
        </w:r>
      </w:hyperlink>
      <w:r>
        <w:t xml:space="preserve">.</w:t>
      </w:r>
    </w:p>
    <w:bookmarkEnd w:id="158"/>
    <w:bookmarkStart w:id="160"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9">
        <w:r>
          <w:rPr>
            <w:rStyle w:val="Hyperlink"/>
          </w:rPr>
          <w:t xml:space="preserve">https://doi.org/10.1037/0033-2909.86.2.420</w:t>
        </w:r>
      </w:hyperlink>
      <w:r>
        <w:t xml:space="preserve">.</w:t>
      </w:r>
    </w:p>
    <w:bookmarkEnd w:id="160"/>
    <w:bookmarkStart w:id="162"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61">
        <w:r>
          <w:rPr>
            <w:rStyle w:val="Hyperlink"/>
          </w:rPr>
          <w:t xml:space="preserve">https://doi.org/10.1371/journal.pcbi.1011462</w:t>
        </w:r>
      </w:hyperlink>
      <w:r>
        <w:t xml:space="preserve">.</w:t>
      </w:r>
    </w:p>
    <w:bookmarkEnd w:id="162"/>
    <w:bookmarkStart w:id="164"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63">
        <w:r>
          <w:rPr>
            <w:rStyle w:val="Hyperlink"/>
          </w:rPr>
          <w:t xml:space="preserve">https://doi.org/10.1136/bjsports-2017-097796</w:t>
        </w:r>
      </w:hyperlink>
      <w:r>
        <w:t xml:space="preserve">.</w:t>
      </w:r>
    </w:p>
    <w:bookmarkEnd w:id="164"/>
    <w:bookmarkStart w:id="166"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5">
        <w:r>
          <w:rPr>
            <w:rStyle w:val="Hyperlink"/>
          </w:rPr>
          <w:t xml:space="preserve">https://doi.org/10.1136/bjsm.2009.066944</w:t>
        </w:r>
      </w:hyperlink>
      <w:r>
        <w:t xml:space="preserve">.</w:t>
      </w:r>
    </w:p>
    <w:bookmarkEnd w:id="166"/>
    <w:bookmarkStart w:id="168" w:name="ref-winter2009"/>
    <w:p>
      <w:pPr>
        <w:pStyle w:val="Bibliography"/>
      </w:pPr>
      <w:r>
        <w:t xml:space="preserve">Winter, David A. 2009.</w:t>
      </w:r>
      <w:r>
        <w:t xml:space="preserve"> </w:t>
      </w:r>
      <w:r>
        <w:rPr>
          <w:i/>
          <w:iCs/>
        </w:rPr>
        <w:t xml:space="preserve">Biomechanics and Motor Control of Human Movement</w:t>
      </w:r>
      <w:r>
        <w:t xml:space="preserve">. 4th ed. John Wiley &amp; Sons.</w:t>
      </w:r>
      <w:r>
        <w:t xml:space="preserve"> </w:t>
      </w:r>
      <w:hyperlink r:id="rId167">
        <w:r>
          <w:rPr>
            <w:rStyle w:val="Hyperlink"/>
          </w:rPr>
          <w:t xml:space="preserve">https://doi.org/10.1002/9780470549148</w:t>
        </w:r>
      </w:hyperlink>
      <w:r>
        <w:t xml:space="preserve">.</w:t>
      </w:r>
    </w:p>
    <w:bookmarkEnd w:id="168"/>
    <w:bookmarkStart w:id="170"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69">
        <w:r>
          <w:rPr>
            <w:rStyle w:val="Hyperlink"/>
          </w:rPr>
          <w:t xml:space="preserve">https://doi.org/10.1109/CVPRW63382.2024.00327</w:t>
        </w:r>
      </w:hyperlink>
      <w:r>
        <w:t xml:space="preserve">.</w:t>
      </w:r>
    </w:p>
    <w:bookmarkEnd w:id="170"/>
    <w:bookmarkStart w:id="172"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71">
        <w:r>
          <w:rPr>
            <w:rStyle w:val="Hyperlink"/>
          </w:rPr>
          <w:t xml:space="preserve">https://doi.org/10.1109/CVPRW67362.2025.00592</w:t>
        </w:r>
      </w:hyperlink>
      <w:r>
        <w:t xml:space="preserve">.</w:t>
      </w:r>
    </w:p>
    <w:bookmarkEnd w:id="172"/>
    <w:bookmarkEnd w:id="173"/>
    <w:bookmarkEnd w:id="174"/>
    <w:bookmarkStart w:id="215"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8"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6" name="Picture"/>
            <a:graphic>
              <a:graphicData uri="http://schemas.openxmlformats.org/drawingml/2006/picture">
                <pic:pic>
                  <pic:nvPicPr>
                    <pic:cNvPr descr="../../resultados/paper/fig2_contact.png" id="177" name="Picture"/>
                    <pic:cNvPicPr>
                      <a:picLocks noChangeArrowheads="1" noChangeAspect="1"/>
                    </pic:cNvPicPr>
                  </pic:nvPicPr>
                  <pic:blipFill>
                    <a:blip r:embed="rId175"/>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8"/>
    <w:bookmarkStart w:id="182"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80" name="Picture"/>
            <a:graphic>
              <a:graphicData uri="http://schemas.openxmlformats.org/drawingml/2006/picture">
                <pic:pic>
                  <pic:nvPicPr>
                    <pic:cNvPr descr="../../resultados/paper/figS2_intensity.png" id="181" name="Picture"/>
                    <pic:cNvPicPr>
                      <a:picLocks noChangeArrowheads="1" noChangeAspect="1"/>
                    </pic:cNvPicPr>
                  </pic:nvPicPr>
                  <pic:blipFill>
                    <a:blip r:embed="rId179"/>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82"/>
    <w:bookmarkStart w:id="186"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84" name="Picture"/>
            <a:graphic>
              <a:graphicData uri="http://schemas.openxmlformats.org/drawingml/2006/picture">
                <pic:pic>
                  <pic:nvPicPr>
                    <pic:cNvPr descr="../../resultados/paper/fig4_sensitivity.png" id="185" name="Picture"/>
                    <pic:cNvPicPr>
                      <a:picLocks noChangeArrowheads="1" noChangeAspect="1"/>
                    </pic:cNvPicPr>
                  </pic:nvPicPr>
                  <pic:blipFill>
                    <a:blip r:embed="rId183"/>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6"/>
    <w:bookmarkStart w:id="190"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8" name="Picture"/>
            <a:graphic>
              <a:graphicData uri="http://schemas.openxmlformats.org/drawingml/2006/picture">
                <pic:pic>
                  <pic:nvPicPr>
                    <pic:cNvPr descr="../../resultados/paper/figS1_sensitivity_cmu.png" id="189" name="Picture"/>
                    <pic:cNvPicPr>
                      <a:picLocks noChangeArrowheads="1" noChangeAspect="1"/>
                    </pic:cNvPicPr>
                  </pic:nvPicPr>
                  <pic:blipFill>
                    <a:blip r:embed="rId187"/>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90"/>
    <w:bookmarkStart w:id="194" w:name="figS:ablation"/>
    <w:p>
      <w:pPr>
        <w:pStyle w:val="CaptionedFigure"/>
      </w:pPr>
      <w:r>
        <w:drawing>
          <wp:inline>
            <wp:extent cx="5334000" cy="2270788"/>
            <wp:effectExtent b="0" l="0" r="0" t="0"/>
            <wp:docPr descr="Figure S5. Effect of (a) the 2D error model, (b) the frame rate and (c) knowing the contact instant, at 80 px." title="" id="192" name="Picture"/>
            <a:graphic>
              <a:graphicData uri="http://schemas.openxmlformats.org/drawingml/2006/picture">
                <pic:pic>
                  <pic:nvPicPr>
                    <pic:cNvPr descr="../../resultados/paper/fig5_ablation.png" id="193" name="Picture"/>
                    <pic:cNvPicPr>
                      <a:picLocks noChangeArrowheads="1" noChangeAspect="1"/>
                    </pic:cNvPicPr>
                  </pic:nvPicPr>
                  <pic:blipFill>
                    <a:blip r:embed="rId191"/>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94"/>
    <w:bookmarkStart w:id="198"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6" name="Picture"/>
            <a:graphic>
              <a:graphicData uri="http://schemas.openxmlformats.org/drawingml/2006/picture">
                <pic:pic>
                  <pic:nvPicPr>
                    <pic:cNvPr descr="../../resultados/paper/figS3_bland.png" id="197" name="Picture"/>
                    <pic:cNvPicPr>
                      <a:picLocks noChangeArrowheads="1" noChangeAspect="1"/>
                    </pic:cNvPicPr>
                  </pic:nvPicPr>
                  <pic:blipFill>
                    <a:blip r:embed="rId195"/>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8"/>
    <w:bookmarkStart w:id="202" w:name="figS:icc"/>
    <w:p>
      <w:pPr>
        <w:pStyle w:val="CaptionedFigure"/>
      </w:pPr>
      <w:r>
        <w:drawing>
          <wp:inline>
            <wp:extent cx="4267200" cy="2133600"/>
            <wp:effectExtent b="0" l="0" r="0" t="0"/>
            <wp:docPr descr="Figure S7. Between-player agreement, ICC(2,1), by feature and camera view (MoVi, 80 px, 25 fps, broadcast residuals, known contact)." title="" id="200" name="Picture"/>
            <a:graphic>
              <a:graphicData uri="http://schemas.openxmlformats.org/drawingml/2006/picture">
                <pic:pic>
                  <pic:nvPicPr>
                    <pic:cNvPr descr="../../resultados/paper/fig6_reliability.png" id="201" name="Picture"/>
                    <pic:cNvPicPr>
                      <a:picLocks noChangeArrowheads="1" noChangeAspect="1"/>
                    </pic:cNvPicPr>
                  </pic:nvPicPr>
                  <pic:blipFill>
                    <a:blip r:embed="rId199"/>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202"/>
    <w:bookmarkStart w:id="206"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204" name="Picture"/>
            <a:graphic>
              <a:graphicData uri="http://schemas.openxmlformats.org/drawingml/2006/picture">
                <pic:pic>
                  <pic:nvPicPr>
                    <pic:cNvPr descr="../../resultados/paper/fig10_finetune.png" id="205" name="Picture"/>
                    <pic:cNvPicPr>
                      <a:picLocks noChangeArrowheads="1" noChangeAspect="1"/>
                    </pic:cNvPicPr>
                  </pic:nvPicPr>
                  <pic:blipFill>
                    <a:blip r:embed="rId203"/>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6"/>
    <w:bookmarkStart w:id="210" w:name="figS:fieldviews"/>
    <w:p>
      <w:pPr>
        <w:pStyle w:val="CaptionedFigure"/>
      </w:pPr>
      <w:r>
        <w:drawing>
          <wp:inline>
            <wp:extent cx="5334000" cy="3501802"/>
            <wp:effectExtent b="0" l="0" r="0" t="0"/>
            <wp:docPr descr="Figure S9. Field example by camera view: strong (red) and soft (blue) kicks at native resolution (filled) and with the player downscaled to 80 px (open). Grey band: peak hip-flexor moment of the laboratory ball kicks (CMU)." title="" id="208" name="Picture"/>
            <a:graphic>
              <a:graphicData uri="http://schemas.openxmlformats.org/drawingml/2006/picture">
                <pic:pic>
                  <pic:nvPicPr>
                    <pic:cNvPr descr="../../resultados/paper/figS9_field_views.png" id="209" name="Picture"/>
                    <pic:cNvPicPr>
                      <a:picLocks noChangeArrowheads="1" noChangeAspect="1"/>
                    </pic:cNvPicPr>
                  </pic:nvPicPr>
                  <pic:blipFill>
                    <a:blip r:embed="rId207"/>
                    <a:stretch>
                      <a:fillRect/>
                    </a:stretch>
                  </pic:blipFill>
                  <pic:spPr bwMode="auto">
                    <a:xfrm>
                      <a:off x="0" y="0"/>
                      <a:ext cx="5334000" cy="3501802"/>
                    </a:xfrm>
                    <a:prstGeom prst="rect">
                      <a:avLst/>
                    </a:prstGeom>
                    <a:noFill/>
                    <a:ln w="9525">
                      <a:noFill/>
                      <a:headEnd/>
                      <a:tailEnd/>
                    </a:ln>
                  </pic:spPr>
                </pic:pic>
              </a:graphicData>
            </a:graphic>
          </wp:inline>
        </w:drawing>
      </w:r>
    </w:p>
    <w:p>
      <w:pPr>
        <w:pStyle w:val="ImageCaption"/>
      </w:pPr>
      <w:r>
        <w:t xml:space="preserve">Figure S9. Field example by camera view: strong (red) and soft (blue) kicks at native resolution (filled) and with the player downscaled to 80 px (open). Grey band: peak hip-flexor moment of the laboratory ball kicks (CMU).</w:t>
      </w:r>
    </w:p>
    <w:bookmarkEnd w:id="210"/>
    <w:bookmarkStart w:id="214" w:name="figS:fieldcompare"/>
    <w:p>
      <w:pPr>
        <w:pStyle w:val="CaptionedFigure"/>
      </w:pPr>
      <w:r>
        <w:drawing>
          <wp:inline>
            <wp:extent cx="4267200" cy="4882661"/>
            <wp:effectExtent b="0" l="0" r="0" t="0"/>
            <wp:docPr descr="Figure S10. Field example: strong versus soft kicks at the instant of peak hip-flexor load, lateral and diagonal-behind views. Colours as in Figure 8a; boxes: estimated net hip and knee moments." title="" id="212" name="Picture"/>
            <a:graphic>
              <a:graphicData uri="http://schemas.openxmlformats.org/drawingml/2006/picture">
                <pic:pic>
                  <pic:nvPicPr>
                    <pic:cNvPr descr="../../resultados/paper/figS10_field_compare.png" id="213" name="Picture"/>
                    <pic:cNvPicPr>
                      <a:picLocks noChangeArrowheads="1" noChangeAspect="1"/>
                    </pic:cNvPicPr>
                  </pic:nvPicPr>
                  <pic:blipFill>
                    <a:blip r:embed="rId211"/>
                    <a:stretch>
                      <a:fillRect/>
                    </a:stretch>
                  </pic:blipFill>
                  <pic:spPr bwMode="auto">
                    <a:xfrm>
                      <a:off x="0" y="0"/>
                      <a:ext cx="4267200" cy="4882661"/>
                    </a:xfrm>
                    <a:prstGeom prst="rect">
                      <a:avLst/>
                    </a:prstGeom>
                    <a:noFill/>
                    <a:ln w="9525">
                      <a:noFill/>
                      <a:headEnd/>
                      <a:tailEnd/>
                    </a:ln>
                  </pic:spPr>
                </pic:pic>
              </a:graphicData>
            </a:graphic>
          </wp:inline>
        </w:drawing>
      </w:r>
    </w:p>
    <w:p>
      <w:pPr>
        <w:pStyle w:val="ImageCaption"/>
      </w:pPr>
      <w:r>
        <w:t xml:space="preserve">Figure S10. Field example: strong versus soft kicks at the instant of peak hip-flexor load, lateral and diagonal-behind views. Colours as in Figure 8a; boxes: estimated net hip and knee moments.</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60" Target="media/rId60.png" /><Relationship Type="http://schemas.openxmlformats.org/officeDocument/2006/relationships/image" Id="rId12" Target="media/rId12.png" /><Relationship Type="http://schemas.openxmlformats.org/officeDocument/2006/relationships/image" Id="rId175" Target="media/rId17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83" Target="media/rId183.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211" Target="media/rId211.png" /><Relationship Type="http://schemas.openxmlformats.org/officeDocument/2006/relationships/image" Id="rId187" Target="media/rId187.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7" Target="media/rId207.png" /><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8" Target="http://mocap.cs.cmu.edu" TargetMode="External" /><Relationship Type="http://schemas.openxmlformats.org/officeDocument/2006/relationships/hyperlink" Id="rId167" Target="https://doi.org/10.1002/9780470549148" TargetMode="External" /><Relationship Type="http://schemas.openxmlformats.org/officeDocument/2006/relationships/hyperlink" Id="rId139" Target="https://doi.org/10.1002/hbm.1058" TargetMode="External" /><Relationship Type="http://schemas.openxmlformats.org/officeDocument/2006/relationships/hyperlink" Id="rId114" Target="https://doi.org/10.1007/978-3-031-72655-2_20" TargetMode="External" /><Relationship Type="http://schemas.openxmlformats.org/officeDocument/2006/relationships/hyperlink" Id="rId153" Target="https://doi.org/10.1007/BF01068419" TargetMode="External" /><Relationship Type="http://schemas.openxmlformats.org/officeDocument/2006/relationships/hyperlink" Id="rId92" Target="https://doi.org/10.1016/0021-9290(95)00178-6" TargetMode="External" /><Relationship Type="http://schemas.openxmlformats.org/officeDocument/2006/relationships/hyperlink" Id="rId86" Target="https://doi.org/10.1016/S0140-6736(86)90837-8" TargetMode="External" /><Relationship Type="http://schemas.openxmlformats.org/officeDocument/2006/relationships/hyperlink" Id="rId131" Target="https://doi.org/10.1016/j.gaitpost.2008.09.003" TargetMode="External" /><Relationship Type="http://schemas.openxmlformats.org/officeDocument/2006/relationships/hyperlink" Id="rId149" Target="https://doi.org/10.1016/j.jbiomech.2015.02.051" TargetMode="External" /><Relationship Type="http://schemas.openxmlformats.org/officeDocument/2006/relationships/hyperlink" Id="rId116" Target="https://doi.org/10.1016/j.jbiomech.2021.110665" TargetMode="External" /><Relationship Type="http://schemas.openxmlformats.org/officeDocument/2006/relationships/hyperlink" Id="rId123" Target="https://doi.org/10.1016/j.jclinepi.2010.03.002" TargetMode="External" /><Relationship Type="http://schemas.openxmlformats.org/officeDocument/2006/relationships/hyperlink" Id="rId121" Target="https://doi.org/10.1016/j.jcm.2016.02.012" TargetMode="External" /><Relationship Type="http://schemas.openxmlformats.org/officeDocument/2006/relationships/hyperlink" Id="rId159" Target="https://doi.org/10.1037/0033-2909.86.2.420" TargetMode="External" /><Relationship Type="http://schemas.openxmlformats.org/officeDocument/2006/relationships/hyperlink" Id="rId137" Target="https://doi.org/10.1038/s41598-021-00212-x" TargetMode="External" /><Relationship Type="http://schemas.openxmlformats.org/officeDocument/2006/relationships/hyperlink" Id="rId96" Target="https://doi.org/10.1080/026404102753576062" TargetMode="External" /><Relationship Type="http://schemas.openxmlformats.org/officeDocument/2006/relationships/hyperlink" Id="rId82" Target="https://doi.org/10.1080/02640410500386050" TargetMode="External" /><Relationship Type="http://schemas.openxmlformats.org/officeDocument/2006/relationships/hyperlink" Id="rId129" Target="https://doi.org/10.1080/02640414.2010.481305" TargetMode="External" /><Relationship Type="http://schemas.openxmlformats.org/officeDocument/2006/relationships/hyperlink" Id="rId147" Target="https://doi.org/10.1080/10255842.2010.527837" TargetMode="External" /><Relationship Type="http://schemas.openxmlformats.org/officeDocument/2006/relationships/hyperlink" Id="rId157" Target="https://doi.org/10.1080/14763140508522852" TargetMode="External" /><Relationship Type="http://schemas.openxmlformats.org/officeDocument/2006/relationships/hyperlink" Id="rId90" Target="https://doi.org/10.1080/14763140903229500" TargetMode="External" /><Relationship Type="http://schemas.openxmlformats.org/officeDocument/2006/relationships/hyperlink" Id="rId143" Target="https://doi.org/10.1097/00005768-200212000-00025" TargetMode="External" /><Relationship Type="http://schemas.openxmlformats.org/officeDocument/2006/relationships/hyperlink" Id="rId94" Target="https://doi.org/10.1109/CVPRW53098.2021.00508" TargetMode="External" /><Relationship Type="http://schemas.openxmlformats.org/officeDocument/2006/relationships/hyperlink" Id="rId84" Target="https://doi.org/10.1109/CVPRW59228.2023.00539" TargetMode="External" /><Relationship Type="http://schemas.openxmlformats.org/officeDocument/2006/relationships/hyperlink" Id="rId169" Target="https://doi.org/10.1109/CVPRW63382.2024.00327" TargetMode="External" /><Relationship Type="http://schemas.openxmlformats.org/officeDocument/2006/relationships/hyperlink" Id="rId171" Target="https://doi.org/10.1109/CVPRW67362.2025.00592" TargetMode="External" /><Relationship Type="http://schemas.openxmlformats.org/officeDocument/2006/relationships/hyperlink" Id="rId141" Target="https://doi.org/10.1109/ICCVW69036.2025.00287" TargetMode="External" /><Relationship Type="http://schemas.openxmlformats.org/officeDocument/2006/relationships/hyperlink" Id="rId108" Target="https://doi.org/10.1109/TPAMI.2013.248" TargetMode="External" /><Relationship Type="http://schemas.openxmlformats.org/officeDocument/2006/relationships/hyperlink" Id="rId133" Target="https://doi.org/10.1109/WACV57701.2024.00677" TargetMode="External" /><Relationship Type="http://schemas.openxmlformats.org/officeDocument/2006/relationships/hyperlink" Id="rId165" Target="https://doi.org/10.1136/bjsm.2009.066944" TargetMode="External" /><Relationship Type="http://schemas.openxmlformats.org/officeDocument/2006/relationships/hyperlink" Id="rId135" Target="https://doi.org/10.1136/bjsports-2012-091250" TargetMode="External" /><Relationship Type="http://schemas.openxmlformats.org/officeDocument/2006/relationships/hyperlink" Id="rId163" Target="https://doi.org/10.1136/bjsports-2017-097796" TargetMode="External" /><Relationship Type="http://schemas.openxmlformats.org/officeDocument/2006/relationships/hyperlink" Id="rId155" Target="https://doi.org/10.1136/bjsports-2018-099246" TargetMode="External" /><Relationship Type="http://schemas.openxmlformats.org/officeDocument/2006/relationships/hyperlink" Id="rId106" Target="https://doi.org/10.1136/bmj.c2289" TargetMode="External" /><Relationship Type="http://schemas.openxmlformats.org/officeDocument/2006/relationships/hyperlink" Id="rId98" Target="https://doi.org/10.1177/0363546510395879" TargetMode="External" /><Relationship Type="http://schemas.openxmlformats.org/officeDocument/2006/relationships/hyperlink" Id="rId125" Target="https://doi.org/10.1177/1948550617697177" TargetMode="External" /><Relationship Type="http://schemas.openxmlformats.org/officeDocument/2006/relationships/hyperlink" Id="rId104" Target="https://doi.org/10.1249/MSS.0b013e31818cb278" TargetMode="External" /><Relationship Type="http://schemas.openxmlformats.org/officeDocument/2006/relationships/hyperlink" Id="rId161" Target="https://doi.org/10.1371/journal.pcbi.1011462" TargetMode="External" /><Relationship Type="http://schemas.openxmlformats.org/officeDocument/2006/relationships/hyperlink" Id="rId102" Target="https://doi.org/10.1371/journal.pone.0253157" TargetMode="External" /><Relationship Type="http://schemas.openxmlformats.org/officeDocument/2006/relationships/hyperlink" Id="rId151" Target="https://doi.org/10.2307/2531021" TargetMode="External" /><Relationship Type="http://schemas.openxmlformats.org/officeDocument/2006/relationships/hyperlink" Id="rId145" Target="https://doi.org/10.3390/ijerph19031179" TargetMode="External" /><Relationship Type="http://schemas.openxmlformats.org/officeDocument/2006/relationships/hyperlink" Id="rId100" Target="https://doi.org/10.48550/arXiv.2107.08430" TargetMode="External" /><Relationship Type="http://schemas.openxmlformats.org/officeDocument/2006/relationships/hyperlink" Id="rId110" Target="https://doi.org/10.48550/arXiv.2303.07399" TargetMode="External" /><Relationship Type="http://schemas.openxmlformats.org/officeDocument/2006/relationships/hyperlink" Id="rId112" Target="https://doi.org/10.48550/arXiv.2407.08634" TargetMode="External" /><Relationship Type="http://schemas.openxmlformats.org/officeDocument/2006/relationships/hyperlink" Id="rId119"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7"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2026-10-17T16:02:12Z</dcterms:created>
  <dcterms:modified xsi:type="dcterms:W3CDTF">2026-10-17T16:02:12Z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