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60.png" ContentType="image/png"/>
  <Override PartName="/word/media/rId12.png" ContentType="image/png"/>
  <Override PartName="/word/media/rId175.png" ContentType="image/png"/>
  <Override PartName="/word/media/rId18.png" ContentType="image/png"/>
  <Override PartName="/word/media/rId30.png" ContentType="image/png"/>
  <Override PartName="/word/media/rId35.png" ContentType="image/png"/>
  <Override PartName="/word/media/rId183.png" ContentType="image/png"/>
  <Override PartName="/word/media/rId191.png" ContentType="image/png"/>
  <Override PartName="/word/media/rId199.png" ContentType="image/png"/>
  <Override PartName="/word/media/rId43.png" ContentType="image/png"/>
  <Override PartName="/word/media/rId48.png" ContentType="image/png"/>
  <Override PartName="/word/media/rId53.png" ContentType="image/png"/>
  <Override PartName="/word/media/rId211.png" ContentType="image/png"/>
  <Override PartName="/word/media/rId187.png" ContentType="image/png"/>
  <Override PartName="/word/media/rId179.png" ContentType="image/png"/>
  <Override PartName="/word/media/rId195.png" ContentType="image/png"/>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5.347.</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y el elevador publicado,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Las grabaciones con móvil de golpeos reales reprodujeron estos patrones.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por encima del mínimo de 30 muestras heterogéneas recomendado para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con vídeo utilizable × 2 cámaras),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(errores aleatorios de al menos 2,7 veces el cambio mínimo relevante).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 elevador publicado de propósito general, ninguna variable del golpeo medida con una sola cámara de retransmisión sirve para comparar con normas de laboratorio, ordenar jugadores o seguir a un jugador; fusionar las repeticiones, adaptar el elevador y anclar el golpeo al instante de contacto del balón hacen utilizables unas pocas variables para ordenar o para comparar con normas, pero ninguna para seguir a un jugador. Un índice de carga articular de la pierna de golpeo es válido en laboratorio, pero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Se usó IA generativa (Claude, de Anthropic, mediante Claude Code) como ayuda extensa para desarrollar el código de análisis, ejecutar y documentar los análisis, producir las figuras y redactar, editar y traducir al español el manuscrito. El autor revisó todo el código, los resultados y el texto, verificó los análisis y asume toda la responsabilidad del contenido.</w:t>
      </w:r>
    </w:p>
    <w:bookmarkEnd w:id="77"/>
    <w:bookmarkStart w:id="78"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8"/>
    <w:bookmarkStart w:id="79"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9"/>
    <w:bookmarkStart w:id="80"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80"/>
    <w:bookmarkStart w:id="81"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1"/>
    <w:bookmarkStart w:id="174" w:name="referencias"/>
    <w:p>
      <w:pPr>
        <w:pStyle w:val="Heading1"/>
      </w:pPr>
      <w:r>
        <w:t xml:space="preserve">Referencias</w:t>
      </w:r>
    </w:p>
    <w:bookmarkStart w:id="173" w:name="refs"/>
    <w:bookmarkStart w:id="83"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8"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18"/>
    <w:bookmarkStart w:id="120"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9">
        <w:r>
          <w:rPr>
            <w:rStyle w:val="Hyperlink"/>
          </w:rPr>
          <w:t xml:space="preserve">https://doi.org/10.48550/arXiv.2609.10498</w:t>
        </w:r>
      </w:hyperlink>
      <w:r>
        <w:t xml:space="preserve">.</w:t>
      </w:r>
    </w:p>
    <w:bookmarkEnd w:id="120"/>
    <w:bookmarkStart w:id="122"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1">
        <w:r>
          <w:rPr>
            <w:rStyle w:val="Hyperlink"/>
          </w:rPr>
          <w:t xml:space="preserve">https://doi.org/10.1016/j.jcm.2016.02.012</w:t>
        </w:r>
      </w:hyperlink>
      <w:r>
        <w:t xml:space="preserve">.</w:t>
      </w:r>
    </w:p>
    <w:bookmarkEnd w:id="122"/>
    <w:bookmarkStart w:id="124"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3">
        <w:r>
          <w:rPr>
            <w:rStyle w:val="Hyperlink"/>
          </w:rPr>
          <w:t xml:space="preserve">https://doi.org/10.1016/j.jclinepi.2010.03.002</w:t>
        </w:r>
      </w:hyperlink>
      <w:r>
        <w:t xml:space="preserve">.</w:t>
      </w:r>
    </w:p>
    <w:bookmarkEnd w:id="124"/>
    <w:bookmarkStart w:id="126"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5">
        <w:r>
          <w:rPr>
            <w:rStyle w:val="Hyperlink"/>
          </w:rPr>
          <w:t xml:space="preserve">https://doi.org/10.1177/1948550617697177</w:t>
        </w:r>
      </w:hyperlink>
      <w:r>
        <w:t xml:space="preserve">.</w:t>
      </w:r>
    </w:p>
    <w:bookmarkEnd w:id="126"/>
    <w:bookmarkStart w:id="128"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7">
        <w:r>
          <w:rPr>
            <w:rStyle w:val="Hyperlink"/>
          </w:rPr>
          <w:t xml:space="preserve">Https://www.laliga.com/en-GB/news/laliga-ea-sports-becomes-the-first-national-football-competition-to-roll-out-connected-ball-technology-across-all-its-matches</w:t>
        </w:r>
      </w:hyperlink>
      <w:r>
        <w:t xml:space="preserve">.</w:t>
      </w:r>
    </w:p>
    <w:bookmarkEnd w:id="128"/>
    <w:bookmarkStart w:id="130"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29">
        <w:r>
          <w:rPr>
            <w:rStyle w:val="Hyperlink"/>
          </w:rPr>
          <w:t xml:space="preserve">https://doi.org/10.1080/02640414.2010.481305</w:t>
        </w:r>
      </w:hyperlink>
      <w:r>
        <w:t xml:space="preserve">.</w:t>
      </w:r>
    </w:p>
    <w:bookmarkEnd w:id="130"/>
    <w:bookmarkStart w:id="132"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1">
        <w:r>
          <w:rPr>
            <w:rStyle w:val="Hyperlink"/>
          </w:rPr>
          <w:t xml:space="preserve">https://doi.org/10.1016/j.gaitpost.2008.09.003</w:t>
        </w:r>
      </w:hyperlink>
      <w:r>
        <w:t xml:space="preserve">.</w:t>
      </w:r>
    </w:p>
    <w:bookmarkEnd w:id="132"/>
    <w:bookmarkStart w:id="134"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3">
        <w:r>
          <w:rPr>
            <w:rStyle w:val="Hyperlink"/>
          </w:rPr>
          <w:t xml:space="preserve">https://doi.org/10.1109/WACV57701.2024.00677</w:t>
        </w:r>
      </w:hyperlink>
      <w:r>
        <w:t xml:space="preserve">.</w:t>
      </w:r>
    </w:p>
    <w:bookmarkEnd w:id="134"/>
    <w:bookmarkStart w:id="136"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5">
        <w:r>
          <w:rPr>
            <w:rStyle w:val="Hyperlink"/>
          </w:rPr>
          <w:t xml:space="preserve">https://doi.org/10.1136/bjsports-2012-091250</w:t>
        </w:r>
      </w:hyperlink>
      <w:r>
        <w:t xml:space="preserve">.</w:t>
      </w:r>
    </w:p>
    <w:bookmarkEnd w:id="136"/>
    <w:bookmarkStart w:id="138"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7">
        <w:r>
          <w:rPr>
            <w:rStyle w:val="Hyperlink"/>
          </w:rPr>
          <w:t xml:space="preserve">https://doi.org/10.1038/s41598-021-00212-x</w:t>
        </w:r>
      </w:hyperlink>
      <w:r>
        <w:t xml:space="preserve">.</w:t>
      </w:r>
    </w:p>
    <w:bookmarkEnd w:id="138"/>
    <w:bookmarkStart w:id="140"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39">
        <w:r>
          <w:rPr>
            <w:rStyle w:val="Hyperlink"/>
          </w:rPr>
          <w:t xml:space="preserve">https://doi.org/10.1002/hbm.1058</w:t>
        </w:r>
      </w:hyperlink>
      <w:r>
        <w:t xml:space="preserve">.</w:t>
      </w:r>
    </w:p>
    <w:bookmarkEnd w:id="140"/>
    <w:bookmarkStart w:id="142"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1">
        <w:r>
          <w:rPr>
            <w:rStyle w:val="Hyperlink"/>
          </w:rPr>
          <w:t xml:space="preserve">https://doi.org/10.1109/ICCVW69036.2025.00287</w:t>
        </w:r>
      </w:hyperlink>
      <w:r>
        <w:t xml:space="preserve">.</w:t>
      </w:r>
    </w:p>
    <w:bookmarkEnd w:id="142"/>
    <w:bookmarkStart w:id="144"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3">
        <w:r>
          <w:rPr>
            <w:rStyle w:val="Hyperlink"/>
          </w:rPr>
          <w:t xml:space="preserve">https://doi.org/10.1097/00005768-200212000-00025</w:t>
        </w:r>
      </w:hyperlink>
      <w:r>
        <w:t xml:space="preserve">.</w:t>
      </w:r>
    </w:p>
    <w:bookmarkEnd w:id="144"/>
    <w:bookmarkStart w:id="146"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5">
        <w:r>
          <w:rPr>
            <w:rStyle w:val="Hyperlink"/>
          </w:rPr>
          <w:t xml:space="preserve">https://doi.org/10.3390/ijerph19031179</w:t>
        </w:r>
      </w:hyperlink>
      <w:r>
        <w:t xml:space="preserve">.</w:t>
      </w:r>
    </w:p>
    <w:bookmarkEnd w:id="146"/>
    <w:bookmarkStart w:id="148"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7">
        <w:r>
          <w:rPr>
            <w:rStyle w:val="Hyperlink"/>
          </w:rPr>
          <w:t xml:space="preserve">https://doi.org/10.1080/10255842.2010.527837</w:t>
        </w:r>
      </w:hyperlink>
      <w:r>
        <w:t xml:space="preserve">.</w:t>
      </w:r>
    </w:p>
    <w:bookmarkEnd w:id="148"/>
    <w:bookmarkStart w:id="150"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49">
        <w:r>
          <w:rPr>
            <w:rStyle w:val="Hyperlink"/>
          </w:rPr>
          <w:t xml:space="preserve">https://doi.org/10.1016/j.jbiomech.2015.02.051</w:t>
        </w:r>
      </w:hyperlink>
      <w:r>
        <w:t xml:space="preserve">.</w:t>
      </w:r>
    </w:p>
    <w:bookmarkEnd w:id="150"/>
    <w:bookmarkStart w:id="152"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1">
        <w:r>
          <w:rPr>
            <w:rStyle w:val="Hyperlink"/>
          </w:rPr>
          <w:t xml:space="preserve">https://doi.org/10.2307/2531021</w:t>
        </w:r>
      </w:hyperlink>
      <w:r>
        <w:t xml:space="preserve">.</w:t>
      </w:r>
    </w:p>
    <w:bookmarkEnd w:id="152"/>
    <w:bookmarkStart w:id="154"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3">
        <w:r>
          <w:rPr>
            <w:rStyle w:val="Hyperlink"/>
          </w:rPr>
          <w:t xml:space="preserve">https://doi.org/10.1007/BF01068419</w:t>
        </w:r>
      </w:hyperlink>
      <w:r>
        <w:t xml:space="preserve">.</w:t>
      </w:r>
    </w:p>
    <w:bookmarkEnd w:id="154"/>
    <w:bookmarkStart w:id="156"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5">
        <w:r>
          <w:rPr>
            <w:rStyle w:val="Hyperlink"/>
          </w:rPr>
          <w:t xml:space="preserve">https://doi.org/10.1136/bjsports-2018-099246</w:t>
        </w:r>
      </w:hyperlink>
      <w:r>
        <w:t xml:space="preserve">.</w:t>
      </w:r>
    </w:p>
    <w:bookmarkEnd w:id="156"/>
    <w:bookmarkStart w:id="158"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7">
        <w:r>
          <w:rPr>
            <w:rStyle w:val="Hyperlink"/>
          </w:rPr>
          <w:t xml:space="preserve">https://doi.org/10.1080/14763140508522852</w:t>
        </w:r>
      </w:hyperlink>
      <w:r>
        <w:t xml:space="preserve">.</w:t>
      </w:r>
    </w:p>
    <w:bookmarkEnd w:id="158"/>
    <w:bookmarkStart w:id="160"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9">
        <w:r>
          <w:rPr>
            <w:rStyle w:val="Hyperlink"/>
          </w:rPr>
          <w:t xml:space="preserve">https://doi.org/10.1037/0033-2909.86.2.420</w:t>
        </w:r>
      </w:hyperlink>
      <w:r>
        <w:t xml:space="preserve">.</w:t>
      </w:r>
    </w:p>
    <w:bookmarkEnd w:id="160"/>
    <w:bookmarkStart w:id="162"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1">
        <w:r>
          <w:rPr>
            <w:rStyle w:val="Hyperlink"/>
          </w:rPr>
          <w:t xml:space="preserve">https://doi.org/10.1371/journal.pcbi.1011462</w:t>
        </w:r>
      </w:hyperlink>
      <w:r>
        <w:t xml:space="preserve">.</w:t>
      </w:r>
    </w:p>
    <w:bookmarkEnd w:id="162"/>
    <w:bookmarkStart w:id="164"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3">
        <w:r>
          <w:rPr>
            <w:rStyle w:val="Hyperlink"/>
          </w:rPr>
          <w:t xml:space="preserve">https://doi.org/10.1136/bjsports-2017-097796</w:t>
        </w:r>
      </w:hyperlink>
      <w:r>
        <w:t xml:space="preserve">.</w:t>
      </w:r>
    </w:p>
    <w:bookmarkEnd w:id="164"/>
    <w:bookmarkStart w:id="166"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5">
        <w:r>
          <w:rPr>
            <w:rStyle w:val="Hyperlink"/>
          </w:rPr>
          <w:t xml:space="preserve">https://doi.org/10.1136/bjsm.2009.066944</w:t>
        </w:r>
      </w:hyperlink>
      <w:r>
        <w:t xml:space="preserve">.</w:t>
      </w:r>
    </w:p>
    <w:bookmarkEnd w:id="166"/>
    <w:bookmarkStart w:id="168"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7">
        <w:r>
          <w:rPr>
            <w:rStyle w:val="Hyperlink"/>
          </w:rPr>
          <w:t xml:space="preserve">https://doi.org/10.1002/9780470549148</w:t>
        </w:r>
      </w:hyperlink>
      <w:r>
        <w:t xml:space="preserve">.</w:t>
      </w:r>
    </w:p>
    <w:bookmarkEnd w:id="168"/>
    <w:bookmarkStart w:id="170"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69">
        <w:r>
          <w:rPr>
            <w:rStyle w:val="Hyperlink"/>
          </w:rPr>
          <w:t xml:space="preserve">https://doi.org/10.1109/CVPRW63382.2024.00327</w:t>
        </w:r>
      </w:hyperlink>
      <w:r>
        <w:t xml:space="preserve">.</w:t>
      </w:r>
    </w:p>
    <w:bookmarkEnd w:id="170"/>
    <w:bookmarkStart w:id="172"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1">
        <w:r>
          <w:rPr>
            <w:rStyle w:val="Hyperlink"/>
          </w:rPr>
          <w:t xml:space="preserve">https://doi.org/10.1109/CVPRW67362.2025.00592</w:t>
        </w:r>
      </w:hyperlink>
      <w:r>
        <w:t xml:space="preserve">.</w:t>
      </w:r>
    </w:p>
    <w:bookmarkEnd w:id="172"/>
    <w:bookmarkEnd w:id="173"/>
    <w:bookmarkEnd w:id="174"/>
    <w:bookmarkStart w:id="215"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8"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6" name="Picture"/>
            <a:graphic>
              <a:graphicData uri="http://schemas.openxmlformats.org/drawingml/2006/picture">
                <pic:pic>
                  <pic:nvPicPr>
                    <pic:cNvPr descr="../../resultados/paper_es/fig2_contact.png" id="177" name="Picture"/>
                    <pic:cNvPicPr>
                      <a:picLocks noChangeArrowheads="1" noChangeAspect="1"/>
                    </pic:cNvPicPr>
                  </pic:nvPicPr>
                  <pic:blipFill>
                    <a:blip r:embed="rId175"/>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8"/>
    <w:bookmarkStart w:id="182"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0" name="Picture"/>
            <a:graphic>
              <a:graphicData uri="http://schemas.openxmlformats.org/drawingml/2006/picture">
                <pic:pic>
                  <pic:nvPicPr>
                    <pic:cNvPr descr="../../resultados/paper_es/figS2_intensity.png" id="181" name="Picture"/>
                    <pic:cNvPicPr>
                      <a:picLocks noChangeArrowheads="1" noChangeAspect="1"/>
                    </pic:cNvPicPr>
                  </pic:nvPicPr>
                  <pic:blipFill>
                    <a:blip r:embed="rId179"/>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2"/>
    <w:bookmarkStart w:id="186"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4" name="Picture"/>
            <a:graphic>
              <a:graphicData uri="http://schemas.openxmlformats.org/drawingml/2006/picture">
                <pic:pic>
                  <pic:nvPicPr>
                    <pic:cNvPr descr="../../resultados/paper_es/fig4_sensitivity.png" id="185" name="Picture"/>
                    <pic:cNvPicPr>
                      <a:picLocks noChangeArrowheads="1" noChangeAspect="1"/>
                    </pic:cNvPicPr>
                  </pic:nvPicPr>
                  <pic:blipFill>
                    <a:blip r:embed="rId183"/>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6"/>
    <w:bookmarkStart w:id="190"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8" name="Picture"/>
            <a:graphic>
              <a:graphicData uri="http://schemas.openxmlformats.org/drawingml/2006/picture">
                <pic:pic>
                  <pic:nvPicPr>
                    <pic:cNvPr descr="../../resultados/paper_es/figS1_sensitivity_cmu.png" id="189" name="Picture"/>
                    <pic:cNvPicPr>
                      <a:picLocks noChangeArrowheads="1" noChangeAspect="1"/>
                    </pic:cNvPicPr>
                  </pic:nvPicPr>
                  <pic:blipFill>
                    <a:blip r:embed="rId187"/>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0"/>
    <w:bookmarkStart w:id="194"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2" name="Picture"/>
            <a:graphic>
              <a:graphicData uri="http://schemas.openxmlformats.org/drawingml/2006/picture">
                <pic:pic>
                  <pic:nvPicPr>
                    <pic:cNvPr descr="../../resultados/paper_es/fig5_ablation.png" id="193" name="Picture"/>
                    <pic:cNvPicPr>
                      <a:picLocks noChangeArrowheads="1" noChangeAspect="1"/>
                    </pic:cNvPicPr>
                  </pic:nvPicPr>
                  <pic:blipFill>
                    <a:blip r:embed="rId191"/>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4"/>
    <w:bookmarkStart w:id="198"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6" name="Picture"/>
            <a:graphic>
              <a:graphicData uri="http://schemas.openxmlformats.org/drawingml/2006/picture">
                <pic:pic>
                  <pic:nvPicPr>
                    <pic:cNvPr descr="../../resultados/paper_es/figS3_bland.png" id="197" name="Picture"/>
                    <pic:cNvPicPr>
                      <a:picLocks noChangeArrowheads="1" noChangeAspect="1"/>
                    </pic:cNvPicPr>
                  </pic:nvPicPr>
                  <pic:blipFill>
                    <a:blip r:embed="rId195"/>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8"/>
    <w:bookmarkStart w:id="202"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0" name="Picture"/>
            <a:graphic>
              <a:graphicData uri="http://schemas.openxmlformats.org/drawingml/2006/picture">
                <pic:pic>
                  <pic:nvPicPr>
                    <pic:cNvPr descr="../../resultados/paper_es/fig6_reliability.png" id="201" name="Picture"/>
                    <pic:cNvPicPr>
                      <a:picLocks noChangeArrowheads="1" noChangeAspect="1"/>
                    </pic:cNvPicPr>
                  </pic:nvPicPr>
                  <pic:blipFill>
                    <a:blip r:embed="rId199"/>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2"/>
    <w:bookmarkStart w:id="206"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4" name="Picture"/>
            <a:graphic>
              <a:graphicData uri="http://schemas.openxmlformats.org/drawingml/2006/picture">
                <pic:pic>
                  <pic:nvPicPr>
                    <pic:cNvPr descr="../../resultados/paper_es/fig10_finetune.png" id="205" name="Picture"/>
                    <pic:cNvPicPr>
                      <a:picLocks noChangeArrowheads="1" noChangeAspect="1"/>
                    </pic:cNvPicPr>
                  </pic:nvPicPr>
                  <pic:blipFill>
                    <a:blip r:embed="rId203"/>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6"/>
    <w:bookmarkStart w:id="210"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08" name="Picture"/>
            <a:graphic>
              <a:graphicData uri="http://schemas.openxmlformats.org/drawingml/2006/picture">
                <pic:pic>
                  <pic:nvPicPr>
                    <pic:cNvPr descr="../../resultados/paper_es/figS9_field_views.png" id="209" name="Picture"/>
                    <pic:cNvPicPr>
                      <a:picLocks noChangeArrowheads="1" noChangeAspect="1"/>
                    </pic:cNvPicPr>
                  </pic:nvPicPr>
                  <pic:blipFill>
                    <a:blip r:embed="rId207"/>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0"/>
    <w:bookmarkStart w:id="214"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2" name="Picture"/>
            <a:graphic>
              <a:graphicData uri="http://schemas.openxmlformats.org/drawingml/2006/picture">
                <pic:pic>
                  <pic:nvPicPr>
                    <pic:cNvPr descr="../../resultados/paper_es/figS10_field_compare.png" id="213" name="Picture"/>
                    <pic:cNvPicPr>
                      <a:picLocks noChangeArrowheads="1" noChangeAspect="1"/>
                    </pic:cNvPicPr>
                  </pic:nvPicPr>
                  <pic:blipFill>
                    <a:blip r:embed="rId211"/>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5" Target="media/rId17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3" Target="media/rId183.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1" Target="media/rId211.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7" Target="media/rId207.png" /><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2026-10-17T16:02:14Z</dcterms:created>
  <dcterms:modified xsi:type="dcterms:W3CDTF">2026-10-17T16:02:14Z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