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file 1 — GRRAS checklist</w:t>
      </w:r>
    </w:p>
    <w:p>
      <w:pPr>
        <w:pStyle w:val="Subtitle"/>
      </w:pPr>
      <w:r>
        <w:t xml:space="preserve">Guidelines for Reporting Reliability and Agreement Studies (Kottner et al., 2011)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What can be measured from the broadcast? Validity of single-camera video for football-kick kinematics and swing-leg joint loads.</w:t>
      </w:r>
      <w:r>
        <w:t xml:space="preserve"> </w:t>
      </w:r>
      <w:r>
        <w:t xml:space="preserve">Maintained repository checklist; section numbers refer to the repository reading version. The published SportRxiv supplement is preserved separately in docs/preprint (DOI 10.51224/SportRxiv.1131).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787"/>
        <w:gridCol w:w="37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GRRAS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in title or abstract that interrater/intrarater reliability or agreement was investigated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</w:t>
            </w:r>
            <w:r>
              <w:t xml:space="preserve">“validity”</w:t>
            </w:r>
            <w:r>
              <w:t xml:space="preserve">); abstract (</w:t>
            </w:r>
            <w:r>
              <w:t xml:space="preserve">“method-comparison study”</w:t>
            </w:r>
            <w:r>
              <w:t xml:space="preserve">, agreement against motion capture)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describe the diagnostic or measurement device of interest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(broadcast-video pipeline); §2.3 (RTMW-x detector, MotionAGFormer-B lifter, scaling, alignment,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subject population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(football players kicking in broadcast matches); §2.1 (laboratory participants as reference population and its limits)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rater population of interest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applicable: the method is automated (detector + lifter). The reference</w:t>
            </w:r>
            <w:r>
              <w:t xml:space="preserve"> </w:t>
            </w:r>
            <w:r>
              <w:t xml:space="preserve">“rater”</w:t>
            </w:r>
            <w:r>
              <w:t xml:space="preserve"> </w:t>
            </w:r>
            <w:r>
              <w:t xml:space="preserve">is optical motion capture (§2.1)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what is already known about reliability and agreement and provide a rationale for the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sample size was chosen; state the number of raters, subjects/objects and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(fixed by the public datasets; 83 participants); §2.1 (7 CMU kicks); §2.3 (5 views × 5 sizes × 2 frame rates; 3 noise seeds for CMU, 1 for MoVi)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sampling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(all seven CMU kick trials; all MoVi participants with a usable kick, after interpolating gaps of up to 0.25 s and excluding kicks with longer gaps; all 200 3DSP shots)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measurement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(features, loads, windows); §2.3 (virtual camera, error models, lifting); §2.4 (real video, digital twin); §2.5 (remedies)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whether measurements were conducted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§2.3: scale, one rigid alignment, kicking-leg identity and known contact use reference information in the main conditions; these are optimistic benchmark conditions. The adapted lifter uses unseen participants and held-out broadcast residuals (§2.5). The posture-surrogate transfer model is fitted on all MoVi laboratory observations and its video agreement is not held out (§3.5).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(bias, MAE, limits of agreement, ICC(2,1), calibration slope, bootstrap CIs, exploratory operational criteria, TOST, custom paired sign-flip waveform permutation tests); §2.8 (hypothetical information-fraction sensitivity; no KLI-specific event estimate or season forecast)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actual number of raters and subjects included and the number of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and Table 1; §3.4 (162 usable recordings from 82 participants; two participants with one usable camera); Tables 2–4 (n per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sample characteristics of raters and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(CMU: 2 participants; MoVi: 83 participants, 55 female, non-footballers, air kicks)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estimates of reliability and agreement including measures of statistical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§3.3–3.7; Tables 2–4 (bias, MAE with 95 % CI, 95 % LoA, ICC with 95 % CI); Supplementary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the practical relevance of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detailed results if possible (e.g.,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file 2 (complete statistical outputs); code and aggregated results in the public repository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file 1 — GRRAS checklist</dc:title>
  <dc:creator/>
  <cp:keywords/>
  <dcterms:created xsi:type="dcterms:W3CDTF">2026-10-26T12:36:25Z</dcterms:created>
  <dcterms:modified xsi:type="dcterms:W3CDTF">2026-10-26T12:36:25Z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  <property fmtid="{D5CDD505-2E9C-101B-9397-08002B2CF9AE}" pid="3" name="subtitle">
    <vt:lpwstr>Guidelines for Reporting Reliability and Agreement Studies (Kottner et al., 2011)</vt:lpwstr>
  </property>
</Properties>
</file>