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png" ContentType="image/png"/>
  <Override PartName="/word/media/rId12.png" ContentType="image/png"/>
  <Override PartName="/word/media/rId169.png" ContentType="image/png"/>
  <Override PartName="/word/media/rId18.png" ContentType="image/png"/>
  <Override PartName="/word/media/rId30.png" ContentType="image/png"/>
  <Override PartName="/word/media/rId35.png" ContentType="image/png"/>
  <Override PartName="/word/media/rId177.png" ContentType="image/png"/>
  <Override PartName="/word/media/rId185.png" ContentType="image/png"/>
  <Override PartName="/word/media/rId193.png" ContentType="image/png"/>
  <Override PartName="/word/media/rId43.png" ContentType="image/png"/>
  <Override PartName="/word/media/rId48.png" ContentType="image/png"/>
  <Override PartName="/word/media/rId53.png" ContentType="image/png"/>
  <Override PartName="/word/media/rId181.png" ContentType="image/png"/>
  <Override PartName="/word/media/rId173.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b/>
          <w:bCs/>
        </w:rPr>
        <w:t xml:space="preserve">Author.</w:t>
      </w:r>
      <w:r>
        <w:t xml:space="preserve"> </w:t>
      </w:r>
      <w:r>
        <w:t xml:space="preserve">Roberto Martín Gutiérrez</w:t>
      </w:r>
      <w:r>
        <w:rPr>
          <w:vertAlign w:val="superscript"/>
        </w:rPr>
        <w:t xml:space="preserve">1</w:t>
      </w:r>
      <w:r>
        <w:t xml:space="preserve"> </w:t>
      </w:r>
      <w:r>
        <w:t xml:space="preserve">(corresponding author).</w:t>
      </w:r>
      <w:r>
        <w:t xml:space="preserve"> </w:t>
      </w: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E-mail: convderover@gmail.com. LinkedIn: roberto-martín-gutiérrez-ingeniería-biomédica.</w:t>
      </w:r>
    </w:p>
    <w:p>
      <w:pPr>
        <w:pStyle w:val="BodyText"/>
      </w:pPr>
      <w:r>
        <w:rPr>
          <w:b/>
          <w:bCs/>
        </w:rPr>
        <w:t xml:space="preserve">Article type:</w:t>
      </w:r>
      <w:r>
        <w:t xml:space="preserve"> </w:t>
      </w:r>
      <w:r>
        <w:t xml:space="preserve">Original Investigation.</w:t>
      </w:r>
      <w:r>
        <w:t xml:space="preserve"> </w:t>
      </w:r>
      <w:r>
        <w:rPr>
          <w:b/>
          <w:bCs/>
        </w:rPr>
        <w:t xml:space="preserve">Running title:</w:t>
      </w:r>
      <w:r>
        <w:t xml:space="preserve"> </w:t>
      </w:r>
      <w:r>
        <w:t xml:space="preserve">Kick biomechanics from broadcast video.</w:t>
      </w:r>
      <w:r>
        <w:t xml:space="preserve"> </w:t>
      </w:r>
      <w:r>
        <w:rPr>
          <w:b/>
          <w:bCs/>
        </w:rPr>
        <w:t xml:space="preserve">Word count (main text):</w:t>
      </w:r>
      <w:r>
        <w:t xml:space="preserve"> </w:t>
      </w:r>
      <w:r>
        <w:t xml:space="preserve">3,805.</w:t>
      </w:r>
    </w:p>
    <w:bookmarkStart w:id="10" w:name="abstract"/>
    <w:p>
      <w:pPr>
        <w:pStyle w:val="Heading1"/>
      </w:pPr>
      <w:r>
        <w:t xml:space="preserve">Abstract</w:t>
      </w:r>
    </w:p>
    <w:p>
      <w:pPr>
        <w:pStyle w:val="FirstParagraph"/>
      </w:pPr>
      <w:r>
        <w:t xml:space="preserve">Professional football now measures the ball directly, but the kicking body is only visible on broadcast video. This method-comparison study asked for which practical uses single-camera broadcast-like video can measure kicking kinematics and swing-leg joint loads. Optical motion capture of 90 laboratory kicks (7 ball kicks; 83 participants) served as reference. Kicks were filmed by a virtual broadcast camera carrying the real 2D detector error of 200 Premier League shots, lifted to 3D with a published model, and checked on real video with synchronised capture and a per-recording digital twin. Six kinematic features and three swing-leg joint moments were judged against literature-based criteria for comparing with laboratory norms, ranking players and monitoring individuals. Broadcast detection error was 7.6–12.9 % of player height. From a single camera (player 80 px tall, 25 fps) no variable met any criterion (best ICC 0.64). The digital twin predicted real-video errors (r = 0.84). Fusing three replays with a laboratory correction made kicking-knee flexion acceptable for ranking players (ICC 0.80) and trunk leans comparable with laboratory norms (MAE &lt; 5°); no variable could monitor individuals. A swing-leg load index was valid in the laboratory (ρ = 0.79 with kick intensity) but not from video (reliability 0.08), so validating it as an injury predictor would need about 590 injuries (12–24 LaLiga seasons). Single-camera broadcast video does not yet support individual kicking biomechanics or load-based injury scores; replay fusion and ball-contact timing allow limited ranking uses, pending validation on football-specific data.</w:t>
      </w:r>
    </w:p>
    <w:p>
      <w:pPr>
        <w:pStyle w:val="BodyText"/>
      </w:pPr>
      <w:r>
        <w:rPr>
          <w:b/>
          <w:bCs/>
        </w:rPr>
        <w:t xml:space="preserve">Keywords:</w:t>
      </w:r>
      <w:r>
        <w:t xml:space="preserve"> </w:t>
      </w:r>
      <w:r>
        <w:t xml:space="preserve">football; kicking; broadcast video; markerless motion capture; agreement; inverse dynamics</w:t>
      </w:r>
    </w:p>
    <w:bookmarkEnd w:id="10"/>
    <w:bookmarkStart w:id="11" w:name="introduction"/>
    <w:p>
      <w:pPr>
        <w:pStyle w:val="Heading1"/>
      </w:pPr>
      <w:r>
        <w:t xml:space="preserve">1. Introduction</w:t>
      </w:r>
    </w:p>
    <w:p>
      <w:pPr>
        <w:pStyle w:val="FirstParagraph"/>
      </w:pPr>
      <w:r>
        <w:t xml:space="preserve">Kicking defines football and is also a mechanism of injury. Muscle injuries account for almost one third of time-loss injuries in men’s professional football, with adductor (23 %) and quadriceps (19 %) injuries prominent</w:t>
      </w:r>
      <w:r>
        <w:t xml:space="preserve"> </w:t>
      </w:r>
      <w:r>
        <w:t xml:space="preserve">(</w:t>
      </w:r>
      <w:hyperlink w:anchor="ref-ekstrand2011">
        <w:r>
          <w:rPr>
            <w:rStyle w:val="Hyperlink"/>
          </w:rPr>
          <w:t xml:space="preserve">Ekstrand et al. 2011</w:t>
        </w:r>
      </w:hyperlink>
      <w:r>
        <w:t xml:space="preserve">)</w:t>
      </w:r>
      <w:r>
        <w:t xml:space="preserve">, and hip and groin injuries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is well described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 sensor that reports the instant of every touch</w:t>
      </w:r>
      <w:r>
        <w:t xml:space="preserve"> </w:t>
      </w:r>
      <w:r>
        <w:t xml:space="preserve">(</w:t>
      </w:r>
      <w:hyperlink w:anchor="ref-laliga2026">
        <w:r>
          <w:rPr>
            <w:rStyle w:val="Hyperlink"/>
          </w:rPr>
          <w:t xml:space="preserve">LaLiga 2026</w:t>
        </w:r>
      </w:hyperlink>
      <w:r>
        <w:t xml:space="preserve">)</w:t>
      </w:r>
      <w:r>
        <w:t xml:space="preserve">: the ball is measured, the body that strikes it is not. Monocular pose estimation now extracts kicking posture from a single camera: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Noworolnik and Jaworek-Korjakowska rate shooting technique from side-view features</w:t>
      </w:r>
      <w:r>
        <w:t xml:space="preserve"> </w:t>
      </w:r>
      <w:r>
        <w:t xml:space="preserve">(</w:t>
      </w:r>
      <w:hyperlink w:anchor="ref-noworolnik2025">
        <w:r>
          <w:rPr>
            <w:rStyle w:val="Hyperlink"/>
          </w:rPr>
          <w:t xml:space="preserve">Noworolnik and Jaworek-Korjakowska 2025</w:t>
        </w:r>
      </w:hyperlink>
      <w:r>
        <w:t xml:space="preserve">)</w:t>
      </w:r>
      <w:r>
        <w:t xml:space="preserve">, and 3D player pose from broadcasts is an active topic</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the measurement error of the kicking variables themselves under broadcast conditions. Markerless systems have been validated with several laboratory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and for kicking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the camera angle is arbitrary, the frame rate is 25 or 50 fps and images are compressed. In athletic movements monocular joint angles can correlate with motion capture while joint velocities do not</w:t>
      </w:r>
      <w:r>
        <w:t xml:space="preserve"> </w:t>
      </w:r>
      <w:r>
        <w:t xml:space="preserve">(</w:t>
      </w:r>
      <w:hyperlink w:anchor="ref-yeung2025">
        <w:r>
          <w:rPr>
            <w:rStyle w:val="Hyperlink"/>
          </w:rPr>
          <w:t xml:space="preserve">Yeung et al. 2025</w:t>
        </w:r>
      </w:hyperlink>
      <w:r>
        <w:t xml:space="preserve">)</w:t>
      </w:r>
      <w:r>
        <w:t xml:space="preserve">; joint loads, which need second derivatives of position, should be even more fragile — yet they are what a medical department would want for a</w:t>
      </w:r>
      <w:r>
        <w:t xml:space="preserve"> </w:t>
      </w:r>
      <w:r>
        <w:t xml:space="preserve">“joint suffering”</w:t>
      </w:r>
      <w:r>
        <w:t xml:space="preserve"> </w:t>
      </w:r>
      <w:r>
        <w:t xml:space="preserve">or injury-risk score. Without a known measurement error, broadcast-derived technique or load metrics cannot be interpreted, and injury models built on them cannot be validated.</w:t>
      </w:r>
    </w:p>
    <w:p>
      <w:pPr>
        <w:pStyle w:val="BodyText"/>
      </w:pPr>
      <w:r>
        <w:t xml:space="preserve">Our research question was: for which practical uses — comparison with laboratory norms, ranking players or monitoring an individual — are kicking kinematics and swing-leg joint loads estimated from single-camera broadcast-like video acceptable, and how large would a study validating a broadcast-derived load score as an injury predictor have to be? We also quantified the real 2D detector error on broadcast shots, tested the simulation against real video, and evaluated three remedies.</w:t>
      </w:r>
    </w:p>
    <w:bookmarkEnd w:id="11"/>
    <w:bookmarkStart w:id="29" w:name="methods"/>
    <w:p>
      <w:pPr>
        <w:pStyle w:val="Heading1"/>
      </w:pPr>
      <w:r>
        <w:t xml:space="preserve">2. Methods</w:t>
      </w:r>
    </w:p>
    <w:bookmarkStart w:id="17" w:name="design-data-and-reporting"/>
    <w:p>
      <w:pPr>
        <w:pStyle w:val="Heading2"/>
      </w:pPr>
      <w:r>
        <w:t xml:space="preserve">2.1 Design, data and reporting</w:t>
      </w:r>
    </w:p>
    <w:p>
      <w:pPr>
        <w:pStyle w:val="FirstParagraph"/>
      </w:pPr>
      <w:r>
        <w:t xml:space="preserve">This was a method-comparison (agreement) study using secondary analysis of public datasets, with optical motion capture as the reference (Figure 1, Table 1). A virtual broadcast camera filmed each laboratory kick at controlled player sizes, views and frame rates, its exact 2D projections were corrupted with the error a detector actually makes on broadcast shots, and a temporal lifter reconstructed 3D, from which features and loads were recomputed. The same pipeline ran on real video with synchronised capture, and each real recording was reproduced by its digital twin. Reporting follows the Guidelines for Reporting Reliability and Agreement Studies (GRRAS)</w:t>
      </w:r>
      <w:r>
        <w:t xml:space="preserve"> </w:t>
      </w:r>
      <w:r>
        <w:t xml:space="preserve">(</w:t>
      </w:r>
      <w:hyperlink w:anchor="ref-kottner2011">
        <w:r>
          <w:rPr>
            <w:rStyle w:val="Hyperlink"/>
          </w:rPr>
          <w:t xml:space="preserve">Kottner et al. 2011</w:t>
        </w:r>
      </w:hyperlink>
      <w:r>
        <w:t xml:space="preserve">)</w:t>
      </w:r>
      <w:r>
        <w:t xml:space="preserve"> </w:t>
      </w:r>
      <w:r>
        <w:t xml:space="preserve">(checklist in the supplementary material). The study was not pre-registered.</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p>
      <w:pPr>
        <w:pStyle w:val="BodyText"/>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Vicon, 120 Hz), using the virtual joint centres of the capture software. Six trials have three ball markers; 11_01 includes a run-up; 10_04 is a slow kick (peak ankle speed 4.1 m/s versus 10.2–13.1 m/s).</w:t>
      </w:r>
    </w:p>
    <w:p>
      <w:pPr>
        <w:pStyle w:val="BodyText"/>
      </w:pPr>
      <w:r>
        <w:rPr>
          <w:b/>
          <w:bCs/>
        </w:rPr>
        <w:t xml:space="preserve">MoVi (multi-participant,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90 participants, one kicking action captured at 120 Hz and processed with Visual3D, with synchronised video from two calibrated stationary cameras (800 × 600 px, 30 fps), height and body mass. Joints stored as (0, 0, 0) were treated as gaps; gaps up to 0.25 s were interpolated and kicks with longer gaps excluded, leaving 83 participants (55 female). These are air kicks by non-footballers, so they validate the measurement chain rather than describe football technique. Synchronisation (capture frame = 4 × video frame) was verified by projecting the capture onto the detections (offset 0 ± 2 capture frames).</w:t>
      </w:r>
    </w:p>
    <w:bookmarkStart w:id="16"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6"/>
    <w:bookmarkEnd w:id="17"/>
    <w:bookmarkStart w:id="22" w:name="X2564c84fcf8f0888a0b44306b5c4522fc26f674"/>
    <w:p>
      <w:pPr>
        <w:pStyle w:val="Heading2"/>
      </w:pPr>
      <w:r>
        <w:t xml:space="preserve">2.2 Kinematic features and swing-leg joint loads</w:t>
      </w:r>
    </w:p>
    <w:p>
      <w:pPr>
        <w:pStyle w:val="FirstParagraph"/>
      </w:pPr>
      <w:r>
        <w:t xml:space="preserve">The kicking leg is the one whose ankle reaches the higher peak speed, and contact is approximated by the peak of kicking-ankle speed; in the CMU trials with ball markers we compared it with the true contact, obtained by extrapolating the ball’s launch line back to its resting position. Six features were computed from an eight-joint skeleton (shoulders, hips, knees, ankles; Figure 2a–d): support-knee flexion at contact; kicking-knee peak flexion and kicking-hip peak extension (−0.3 s to contact); kicking-hip range of motion (−0.3 to +0.2 s); and trunk sagittal and lateral lean at contact. These overlap with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p>
      <w:pPr>
        <w:pStyle w:val="BodyText"/>
      </w:pPr>
      <w:r>
        <w:t xml:space="preserve">Between the end of the backswing and ball contact the kicking leg does not touch the ground, so the net moments at its knee and hip are determined by the kinematics and inertia of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the foot as a point mass at the ankle (broadcast skeletons have no foot points) and segment angular velocity from the longitudinal axis (ω = u × u̇). Moments were projected onto the pelvis lateral axis (positive: knee extensor, hip flexor) after zero-lag Butterworth filtering (12 Hz, or 0.35 × fps if lower). Three peaks normalised by body mass were extracted: peak hip-flexor and knee-extensor moments from the end of the backswing to contact, and peak knee-flexor (braking) moment in the 100 ms before contact; a Kick Load Index (KLI) is their mean as z-scores. The model was verified analytically (static limb, mirror symmetry, quadratic scaling with speed) and was identical for reference and estimate, so the comparison isolates the measurement chain. On a full and a slow kick by the same player it gives 1.01 versus 0.43 N·m/kg of hip-flexor moment and 0.89 versus 0.12 N·m/kg of knee-flexor moment (Figure 2f).</w:t>
      </w:r>
    </w:p>
    <w:bookmarkStart w:id="21"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19" name="Picture"/>
            <a:graphic>
              <a:graphicData uri="http://schemas.openxmlformats.org/drawingml/2006/picture">
                <pic:pic>
                  <pic:nvPicPr>
                    <pic:cNvPr descr="../../resultados/paper/fig2_model.png" id="20" name="Picture"/>
                    <pic:cNvPicPr>
                      <a:picLocks noChangeArrowheads="1" noChangeAspect="1"/>
                    </pic:cNvPicPr>
                  </pic:nvPicPr>
                  <pic:blipFill>
                    <a:blip r:embed="rId18"/>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1"/>
    <w:bookmarkEnd w:id="22"/>
    <w:bookmarkStart w:id="23" w:name="Xa85ec7a6afd03f109663c4b97d3cdb754838f24"/>
    <w:p>
      <w:pPr>
        <w:pStyle w:val="Heading2"/>
      </w:pPr>
      <w:r>
        <w:t xml:space="preserve">2.3 Broadcast 2D error, virtual camera and 3D lifting</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at 25 fps, with 17 manually annotated keypoints of the shooter.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inside the annotated person box, also at 75 % and 50 % scale for a quarter of the shots (6 000 detections). We report the RMS error per axis as a function of player height</w:t>
      </w:r>
      <w:r>
        <w:t xml:space="preserve"> </w:t>
      </w:r>
      <w:r>
        <w:rPr>
          <w:i/>
          <w:iCs/>
        </w:rPr>
        <w:t xml:space="preserve">H</w:t>
      </w:r>
      <w:r>
        <w:t xml:space="preserve"> </w:t>
      </w:r>
      <w:r>
        <w:t xml:space="preserve">and fit σ(</w:t>
      </w:r>
      <w:r>
        <w:rPr>
          <w:i/>
          <w:iCs/>
        </w:rPr>
        <w:t xml:space="preserve">H</w:t>
      </w:r>
      <w:r>
        <w:t xml:space="preserve">) = √((</w:t>
      </w:r>
      <w:r>
        <w:rPr>
          <w:i/>
          <w:iCs/>
        </w:rPr>
        <w:t xml:space="preserve">aH</w:t>
      </w:r>
      <w:r>
        <w:t xml:space="preserve">)² +</w:t>
      </w:r>
      <w:r>
        <w:t xml:space="preserve"> </w:t>
      </w:r>
      <w:r>
        <w:rPr>
          <w:i/>
          <w:iCs/>
        </w:rPr>
        <w:t xml:space="preserve">b</w:t>
      </w:r>
      <w:r>
        <w:t xml:space="preserve">²), an upper bound of detector error because annotations have their own error.</w:t>
      </w:r>
    </w:p>
    <w:p>
      <w:pPr>
        <w:pStyle w:val="BodyText"/>
      </w:pPr>
      <w:r>
        <w:t xml:space="preserve">Each ground-truth kick was resampled to 25 or 50 fps and filmed by a pinhole camera 40 m away at 15° elevation and azimuths of 0° (frontal), 45°, 90° (lateral, kicking-leg side), 135° and 180°, with</w:t>
      </w:r>
      <w:r>
        <w:t xml:space="preserve"> </w:t>
      </w:r>
      <w:r>
        <w:rPr>
          <w:i/>
          <w:iCs/>
        </w:rPr>
        <w:t xml:space="preserve">H</w:t>
      </w:r>
      <w:r>
        <w:t xml:space="preserve"> </w:t>
      </w:r>
      <w:r>
        <w:t xml:space="preserve">∈ {400, 200, 120, 80, 50} px. Three 2D error models were added: none; independent Gaussian noise with the measured σ(</w:t>
      </w:r>
      <w:r>
        <w:rPr>
          <w:i/>
          <w:iCs/>
        </w:rPr>
        <w:t xml:space="preserve">H</w:t>
      </w:r>
      <w:r>
        <w:t xml:space="preserve">); and a bootstrap of whole 20-frame sequences of real RTMW residuals from 3DSP, scaled by</w:t>
      </w:r>
      <w:r>
        <w:t xml:space="preserve"> </w:t>
      </w:r>
      <w:r>
        <w:rPr>
          <w:i/>
          <w:iCs/>
        </w:rPr>
        <w:t xml:space="preserve">H</w:t>
      </w:r>
      <w:r>
        <w:t xml:space="preserve">, which preserves temporal correlation and gross failures such as left–right swaps.</w:t>
      </w:r>
    </w:p>
    <w:p>
      <w:pPr>
        <w:pStyle w:val="BodyText"/>
      </w:pPr>
      <w:r>
        <w:t xml:space="preserve">We lifted 2D to 3D with MotionAGFormer-B and its official Human3.6M weights</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Two details had first-order effects: the 2D input must be normalised in a crop centred on the player, because full-frame normalisation, as in the public demo, yields 50–90° errors for small players even without noise; and RTMW scores are not probabilities, so they were replaced by a constant confidence of 0.9 (passing them unchanged under-estimated kicking-knee flexion by 41°). The reconstruction was scaled to the reference thigh length (equivalent to knowing stature) and rigidly aligned once per sequence (equivalent to pitch calibration). Contact was either</w:t>
      </w:r>
      <w:r>
        <w:t xml:space="preserve"> </w:t>
      </w:r>
      <w:r>
        <w:rPr>
          <w:i/>
          <w:iCs/>
        </w:rPr>
        <w:t xml:space="preserve">known</w:t>
      </w:r>
      <w:r>
        <w:t xml:space="preserve"> </w:t>
      </w:r>
      <w:r>
        <w:t xml:space="preserve">(as a ball sensor provides) or</w:t>
      </w:r>
      <w:r>
        <w:t xml:space="preserve"> </w:t>
      </w:r>
      <w:r>
        <w:rPr>
          <w:i/>
          <w:iCs/>
        </w:rPr>
        <w:t xml:space="preserve">automatic</w:t>
      </w:r>
      <w:r>
        <w:t xml:space="preserve"> </w:t>
      </w:r>
      <w:r>
        <w:t xml:space="preserve">(ankle-speed peak of the reconstruction). Apart from scale and alignment, the video estimates never used the reference.</w:t>
      </w:r>
    </w:p>
    <w:bookmarkEnd w:id="23"/>
    <w:bookmarkStart w:id="24" w:name="real-video-and-digital-twin"/>
    <w:p>
      <w:pPr>
        <w:pStyle w:val="Heading2"/>
      </w:pPr>
      <w:r>
        <w:t xml:space="preserve">2.4 Real video and digital twin</w:t>
      </w:r>
    </w:p>
    <w:p>
      <w:pPr>
        <w:pStyle w:val="FirstParagraph"/>
      </w:pPr>
      <w:r>
        <w:t xml:space="preserve">For every MoVi participant and camera,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images were downscaled so that the participant measured 120, 80 or 50 px and JPEG-compressed, or kept at native resolution (about 330 px), and RTMW-x estimated the pose. In the digital twin, each recording was re-simulated at exactly its calibrated geometry and frames with three 2D error models: none, real RTMW residuals from the</w:t>
      </w:r>
      <w:r>
        <w:t xml:space="preserve"> </w:t>
      </w:r>
      <w:r>
        <w:rPr>
          <w:i/>
          <w:iCs/>
        </w:rPr>
        <w:t xml:space="preserve">other</w:t>
      </w:r>
      <w:r>
        <w:t xml:space="preserve"> </w:t>
      </w:r>
      <w:r>
        <w:t xml:space="preserve">MoVi participants, and broadcast residuals. If the twin reproduces the errors measured on real images, its broadcast variant is a credible estimate of broadcast error.</w:t>
      </w:r>
    </w:p>
    <w:bookmarkEnd w:id="24"/>
    <w:bookmarkStart w:id="25" w:name="remedies"/>
    <w:p>
      <w:pPr>
        <w:pStyle w:val="Heading2"/>
      </w:pPr>
      <w:r>
        <w:t xml:space="preserve">2.5 Remedies</w:t>
      </w:r>
    </w:p>
    <w:p>
      <w:pPr>
        <w:pStyle w:val="FirstParagraph"/>
      </w:pPr>
      <w:r>
        <w:rPr>
          <w:i/>
          <w:iCs/>
        </w:rPr>
        <w:t xml:space="preserve">Replay fusion.</w:t>
      </w:r>
      <w:r>
        <w:t xml:space="preserve"> </w:t>
      </w:r>
      <w:r>
        <w:t xml:space="preserve">We averaged the per-view estimates of two (45°, 135°) or three (45°, 90°, 135°) virtual replays with independent 2D errors.</w:t>
      </w:r>
      <w:r>
        <w:t xml:space="preserve"> </w:t>
      </w:r>
      <w:r>
        <w:rPr>
          <w:i/>
          <w:iCs/>
        </w:rPr>
        <w:t xml:space="preserve">Bias correction.</w:t>
      </w:r>
      <w:r>
        <w:t xml:space="preserve"> </w:t>
      </w:r>
      <w:r>
        <w:t xml:space="preserve">A view-specific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learnt on laboratory kicks and applied to unseen participants (leave-one-participant-out), and, to test transfer, learnt on all MoVi kicks and applied to the CMU ball kicks.</w:t>
      </w:r>
      <w:r>
        <w:t xml:space="preserve"> </w:t>
      </w:r>
      <w:r>
        <w:rPr>
          <w:i/>
          <w:iCs/>
        </w:rPr>
        <w:t xml:space="preserve">Kick- and broadcast-adapted lifter.</w:t>
      </w:r>
      <w:r>
        <w:t xml:space="preserve"> </w:t>
      </w:r>
      <w:r>
        <w:t xml:space="preserve">MotionAGFormer-B was fine-tuned on synthetic broadcast data generated from MoVi motion capture (all 21 recorded actions; random view, elevation 5–25°, distance 15–60 m,</w:t>
      </w:r>
      <w:r>
        <w:t xml:space="preserve"> </w:t>
      </w:r>
      <w:r>
        <w:rPr>
          <w:i/>
          <w:iCs/>
        </w:rPr>
        <w:t xml:space="preserve">H</w:t>
      </w:r>
      <w:r>
        <w:t xml:space="preserve"> </w:t>
      </w:r>
      <w:r>
        <w:t xml:space="preserve">40–400 px, 25 or 50 fps; broadcast residuals, Gaussian noise or exact projections) for 1 000 iterations with the original loss. Participants were split into two folds and each model was tested only on participants it never saw. The 3DSP shots were split into two halves stratified by player height: training used one half and every virtual-camera test of the adapted lifter the other. CMU ball kicks were never used for training.</w:t>
      </w:r>
    </w:p>
    <w:bookmarkEnd w:id="25"/>
    <w:bookmarkStart w:id="26" w:name="field-example"/>
    <w:p>
      <w:pPr>
        <w:pStyle w:val="Heading2"/>
      </w:pPr>
      <w:r>
        <w:t xml:space="preserve">2.6 Field example</w:t>
      </w:r>
    </w:p>
    <w:p>
      <w:pPr>
        <w:pStyle w:val="FirstParagraph"/>
      </w:pPr>
      <w:r>
        <w:rPr>
          <w:b/>
          <w:bCs/>
        </w:rPr>
        <w:t xml:space="preserve">[PENDING — field recordings.]</w:t>
      </w:r>
      <w:r>
        <w:t xml:space="preserve"> </w:t>
      </w:r>
      <w:r>
        <w:t xml:space="preserve">To illustrate the pipeline on genuine football kicks, the author (adult male, 177 cm, 78 kg, recreational player) performed</w:t>
      </w:r>
      <w:r>
        <w:t xml:space="preserve"> </w:t>
      </w:r>
      <w:r>
        <w:rPr>
          <w:b/>
          <w:bCs/>
        </w:rPr>
        <w:t xml:space="preserve">[PENDING: n]</w:t>
      </w:r>
      <w:r>
        <w:t xml:space="preserve"> </w:t>
      </w:r>
      <w:r>
        <w:t xml:space="preserve">instep kicks of a stationary ball on grass, filmed with a smartphone (</w:t>
      </w:r>
      <w:r>
        <w:rPr>
          <w:b/>
          <w:bCs/>
        </w:rPr>
        <w:t xml:space="preserve">[PENDING: resolution, frame rate]</w:t>
      </w:r>
      <w:r>
        <w:t xml:space="preserve">) from a fixed position perpendicular to the kicking direction at about 10 m and from 45° in front. The videos were processed with the same detector and lifter at native resolution and after downscaling to 80 px. Without motion capture this example tests plausibility and resolution consistency, not validity.</w:t>
      </w:r>
    </w:p>
    <w:bookmarkEnd w:id="26"/>
    <w:bookmarkStart w:id="27" w:name="statistics-and-acceptability-criteria"/>
    <w:p>
      <w:pPr>
        <w:pStyle w:val="Heading2"/>
      </w:pPr>
      <w:r>
        <w:t xml:space="preserve">2.7 Statistics and acceptability criteria</w:t>
      </w:r>
    </w:p>
    <w:p>
      <w:pPr>
        <w:pStyle w:val="FirstParagraph"/>
      </w:pPr>
      <w:r>
        <w:t xml:space="preserve">For each variable we report bias,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with the classes of Koo and Li</w:t>
      </w:r>
      <w:r>
        <w:t xml:space="preserve"> </w:t>
      </w:r>
      <w:r>
        <w:t xml:space="preserve">(</w:t>
      </w:r>
      <w:hyperlink w:anchor="ref-koo2016">
        <w:r>
          <w:rPr>
            <w:rStyle w:val="Hyperlink"/>
          </w:rPr>
          <w:t xml:space="preserve">Koo and Li 2016</w:t>
        </w:r>
      </w:hyperlink>
      <w:r>
        <w:t xml:space="preserve">)</w:t>
      </w:r>
      <w:r>
        <w:t xml:space="preserve">, and the calibration slope λ (regression of the reference on the estimate), with 95 % confidence intervals from 1 000 bootstrap resamples of participants. The</w:t>
      </w:r>
      <w:r>
        <w:t xml:space="preserve"> </w:t>
      </w:r>
      <w:r>
        <w:rPr>
          <w:i/>
          <w:iCs/>
        </w:rPr>
        <w:t xml:space="preserve">typical broadcast condition</w:t>
      </w:r>
      <w:r>
        <w:t xml:space="preserve"> </w:t>
      </w:r>
      <w:r>
        <w:t xml:space="preserve">is</w:t>
      </w:r>
      <w:r>
        <w:t xml:space="preserve"> </w:t>
      </w:r>
      <w:r>
        <w:rPr>
          <w:i/>
          <w:iCs/>
        </w:rPr>
        <w:t xml:space="preserve">H</w:t>
      </w:r>
      <w:r>
        <w:t xml:space="preserve"> </w:t>
      </w:r>
      <w:r>
        <w:t xml:space="preserve">= 80 px, 25 fps, broadcast residuals, known contact and replay views (45–135°). Sample size was fixed by the available datasets (83 participants exceed the 50 commonly recommended for reliability studies</w:t>
      </w:r>
      <w:r>
        <w:t xml:space="preserve"> </w:t>
      </w:r>
      <w:r>
        <w:t xml:space="preserve">(</w:t>
      </w:r>
      <w:hyperlink w:anchor="ref-koo2016">
        <w:r>
          <w:rPr>
            <w:rStyle w:val="Hyperlink"/>
          </w:rPr>
          <w:t xml:space="preserve">Koo and Li 2016</w:t>
        </w:r>
      </w:hyperlink>
      <w:r>
        <w:t xml:space="preserve">)</w:t>
      </w:r>
      <w:r>
        <w:t xml:space="preserve">).</w:t>
      </w:r>
    </w:p>
    <w:p>
      <w:pPr>
        <w:pStyle w:val="BodyText"/>
      </w:pPr>
      <w:r>
        <w:t xml:space="preserve">Fitness for use was judged against criteria taken from the literature, one per practical use.</w:t>
      </w:r>
      <w:r>
        <w:t xml:space="preserve"> </w:t>
      </w:r>
      <w:r>
        <w:rPr>
          <w:i/>
          <w:iCs/>
        </w:rPr>
        <w:t xml:space="preserve">Comparison with laboratory norms</w:t>
      </w:r>
      <w:r>
        <w:t xml:space="preserve"> </w:t>
      </w:r>
      <w:r>
        <w:t xml:space="preserve">(angles): MAE ≤ 5°, the level above which kinematic error is considered concerning</w:t>
      </w:r>
      <w:r>
        <w:t xml:space="preserve"> </w:t>
      </w:r>
      <w:r>
        <w:t xml:space="preserve">(</w:t>
      </w:r>
      <w:hyperlink w:anchor="ref-mcginley2009">
        <w:r>
          <w:rPr>
            <w:rStyle w:val="Hyperlink"/>
          </w:rPr>
          <w:t xml:space="preserve">McGinley et al. 2009</w:t>
        </w:r>
      </w:hyperlink>
      <w:r>
        <w:t xml:space="preserve">)</w:t>
      </w:r>
      <w:r>
        <w:t xml:space="preserve">, and a bias equivalent to zero within ±5° (two one-sided tests, α = 0.05, one value per participant</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Ranking players</w:t>
      </w:r>
      <w:r>
        <w:t xml:space="preserve">: ICC ≥ 0.75 with the lower 95 % confidence limit ≥ 0.5.</w:t>
      </w:r>
      <w:r>
        <w:t xml:space="preserve"> </w:t>
      </w:r>
      <w:r>
        <w:rPr>
          <w:i/>
          <w:iCs/>
        </w:rPr>
        <w:t xml:space="preserve">Monitoring an individual</w:t>
      </w:r>
      <w:r>
        <w:t xml:space="preserve">: random error (SD of the differences) no larger than the smallest worthwhile change, 0.2 between-player SDs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Group-mean waveforms of laboratory and reconstructed knee and hip flexion were compared with non-parametric one-dimensional statistical parametric mapping</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and Holmes 2002</w:t>
        </w:r>
      </w:hyperlink>
      <w:r>
        <w:t xml:space="preserve">)</w:t>
      </w:r>
      <w:r>
        <w:t xml:space="preserve">: paired</w:t>
      </w:r>
      <w:r>
        <w:t xml:space="preserve"> </w:t>
      </w:r>
      <w:r>
        <w:rPr>
          <w:i/>
          <w:iCs/>
        </w:rPr>
        <w:t xml:space="preserve">t</w:t>
      </w:r>
      <w:r>
        <w:t xml:space="preserve"> </w:t>
      </w:r>
      <w:r>
        <w:t xml:space="preserve">statistics at each instant, with critical threshold and cluster</w:t>
      </w:r>
      <w:r>
        <w:t xml:space="preserve"> </w:t>
      </w:r>
      <w:r>
        <w:rPr>
          <w:i/>
          <w:iCs/>
        </w:rPr>
        <w:t xml:space="preserve">p</w:t>
      </w:r>
      <w:r>
        <w:t xml:space="preserve">-values from 10 000 sign-flip permutations of the maximum |</w:t>
      </w:r>
      <w:r>
        <w:rPr>
          <w:i/>
          <w:iCs/>
        </w:rPr>
        <w:t xml:space="preserve">t</w:t>
      </w:r>
      <w:r>
        <w:t xml:space="preserve">| (family-wise α = 0.05).</w:t>
      </w:r>
    </w:p>
    <w:bookmarkEnd w:id="27"/>
    <w:bookmarkStart w:id="28" w:name="size-of-an-injury-study"/>
    <w:p>
      <w:pPr>
        <w:pStyle w:val="Heading2"/>
      </w:pPr>
      <w:r>
        <w:t xml:space="preserve">2.8 Size of an injury study</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w:t>
      </w:r>
      <w:r>
        <w:t xml:space="preserve"> </w:t>
      </w:r>
      <w:r>
        <w:t xml:space="preserve">(</w:t>
      </w:r>
      <w:hyperlink w:anchor="ref-hutcheon2010">
        <w:r>
          <w:rPr>
            <w:rStyle w:val="Hyperlink"/>
          </w:rPr>
          <w:t xml:space="preserve">Hutcheon et al. 2010</w:t>
        </w:r>
      </w:hyperlink>
      <w:r>
        <w:t xml:space="preserve">)</w:t>
      </w:r>
      <w:r>
        <w:t xml:space="preserve">. With Schoenfeld’s formula</w:t>
      </w:r>
      <w:r>
        <w:t xml:space="preserve"> </w:t>
      </w:r>
      <w:r>
        <w:t xml:space="preserve">(</w:t>
      </w:r>
      <w:hyperlink w:anchor="ref-schoenfeld1983">
        <w:r>
          <w:rPr>
            <w:rStyle w:val="Hyperlink"/>
          </w:rPr>
          <w:t xml:space="preserve">Schoenfeld 1983</w:t>
        </w:r>
      </w:hyperlink>
      <w:r>
        <w:t xml:space="preserve">)</w:t>
      </w:r>
      <w:r>
        <w:t xml:space="preserve">, the number of injuries needed to detect a hazard ratio HR per SD of</w:t>
      </w:r>
      <w:r>
        <w:t xml:space="preserve"> </w:t>
      </w:r>
      <w:r>
        <w:rPr>
          <w:i/>
          <w:iCs/>
        </w:rPr>
        <w:t xml:space="preserve">X</w:t>
      </w:r>
      <w:r>
        <w:t xml:space="preserve"> </w:t>
      </w:r>
      <w:r>
        <w:t xml:space="preserve">(α = 0.05,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players and 0.05–0.10 kicking-related adductor or quadriceps injuries per player-season (0.6 muscle injuries per player-season, 42 % adductor or quadriceps</w:t>
      </w:r>
      <w:r>
        <w:t xml:space="preserve"> </w:t>
      </w:r>
      <w:r>
        <w:t xml:space="preserve">(</w:t>
      </w:r>
      <w:hyperlink w:anchor="ref-ekstrand2011">
        <w:r>
          <w:rPr>
            <w:rStyle w:val="Hyperlink"/>
          </w:rPr>
          <w:t xml:space="preserve">Ekstrand et al. 2011</w:t>
        </w:r>
      </w:hyperlink>
      <w:r>
        <w:t xml:space="preserve">)</w:t>
      </w:r>
      <w:r>
        <w:t xml:space="preserve">, a quarter to a half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28"/>
    <w:bookmarkEnd w:id="29"/>
    <w:bookmarkStart w:id="61" w:name="results"/>
    <w:p>
      <w:pPr>
        <w:pStyle w:val="Heading1"/>
      </w:pPr>
      <w:r>
        <w:t xml:space="preserve">3. Results</w:t>
      </w:r>
    </w:p>
    <w:bookmarkStart w:id="34" w:name="X47228f35d28b5f9815fd95789e1f13d822d2d61"/>
    <w:p>
      <w:pPr>
        <w:pStyle w:val="Heading2"/>
      </w:pPr>
      <w:r>
        <w:t xml:space="preserve">3.1 Contact instant and broadcast detector error</w:t>
      </w:r>
    </w:p>
    <w:p>
      <w:pPr>
        <w:pStyle w:val="FirstParagraph"/>
      </w:pPr>
      <w:r>
        <w:t xml:space="preserve">In the five CMU kicks with ball markers the peak of kicking-ankle speed preceded the true contact by 19.6 ms (6.8–32.2 ms; Supplementary Figure S1), less than one broadcast frame, and computing the features at that peak changed them by at most 2.1°.</w:t>
      </w:r>
    </w:p>
    <w:p>
      <w:pPr>
        <w:pStyle w:val="BodyText"/>
      </w:pPr>
      <w:r>
        <w:t xml:space="preserve">On broadcast shots the detector’s RMS error per axis followed σ(</w:t>
      </w:r>
      <w:r>
        <w:rPr>
          <w:i/>
          <w:iCs/>
        </w:rPr>
        <w:t xml:space="preserve">H</w:t>
      </w:r>
      <w:r>
        <w:t xml:space="preserve">) = √((0.063</w:t>
      </w:r>
      <w:r>
        <w:t xml:space="preserve"> </w:t>
      </w:r>
      <w:r>
        <w:rPr>
          <w:i/>
          <w:iCs/>
        </w:rPr>
        <w:t xml:space="preserve">H</w:t>
      </w:r>
      <w:r>
        <w:t xml:space="preserve">)² + 3.9²) px, falling from 12.9 % of player height at about 27 px to 7.6 % at about 86 px (Figure 3a). Ankles (14.4 %) and wrists (13.7 %) were the least accurate joints, hips (5.6 %) and shoulders (5.5 %) the most (Figure 3b). On laboratory video downscaled to the same sizes the same detector erred by 3.1–4.0 % of</w:t>
      </w:r>
      <w:r>
        <w:t xml:space="preserve"> </w:t>
      </w:r>
      <w:r>
        <w:rPr>
          <w:i/>
          <w:iCs/>
        </w:rPr>
        <w:t xml:space="preserve">H</w:t>
      </w:r>
      <w:r>
        <w:t xml:space="preserve">: broadcast images are more than twice as hard.</w:t>
      </w:r>
    </w:p>
    <w:bookmarkStart w:id="33"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1" name="Picture"/>
            <a:graphic>
              <a:graphicData uri="http://schemas.openxmlformats.org/drawingml/2006/picture">
                <pic:pic>
                  <pic:nvPicPr>
                    <pic:cNvPr descr="../../resultados/paper/fig3_2d_error.png" id="32" name="Picture"/>
                    <pic:cNvPicPr>
                      <a:picLocks noChangeArrowheads="1" noChangeAspect="1"/>
                    </pic:cNvPicPr>
                  </pic:nvPicPr>
                  <pic:blipFill>
                    <a:blip r:embed="rId30"/>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3"/>
    <w:bookmarkEnd w:id="34"/>
    <w:bookmarkStart w:id="39" w:name="X191f015a9a908f32ce8339e31cffb02f2f04815"/>
    <w:p>
      <w:pPr>
        <w:pStyle w:val="Heading2"/>
      </w:pPr>
      <w:r>
        <w:t xml:space="preserve">3.2 Sensitivity to view, size, frame rate, error model and contact</w:t>
      </w:r>
    </w:p>
    <w:p>
      <w:pPr>
        <w:pStyle w:val="FirstParagraph"/>
      </w:pPr>
      <w:r>
        <w:t xml:space="preserve">Without 2D noise the lifter alone produced a mean feature error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S2). With broadcast residuals the camera view dominated: MoVi errors were 11.9° (lateral), 13.5° (135°), 19.0° (45°), 20.0° (rear) and 22.6° (frontal) (Supplementary Figures S3 and S4). Player size had little effect between 50 and 400 px (16.8–18.2°). Independent Gaussian noise of the measured magnitude over-stated the error of real residual sequences by 1.05–1.8 times; 50 fps did not improve on 25 fps (16.7° versus 17.4°); and detecting the contact from the reconstructed pose instead of knowing it increased the error from 17.4° to 23.1° (Supplementary Figure S5).</w:t>
      </w:r>
    </w:p>
    <w:p>
      <w:pPr>
        <w:pStyle w:val="BodyText"/>
      </w:pPr>
      <w:r>
        <w:t xml:space="preserve">On the average waveform (Figure 4), from a lateral camera the reconstructed hip flexion followed the laboratory curve closely (mean difference 3.3°; significant only between −160 and −120 ms,</w:t>
      </w:r>
      <w:r>
        <w:t xml:space="preserve"> </w:t>
      </w:r>
      <w:r>
        <w:rPr>
          <w:i/>
          <w:iCs/>
        </w:rPr>
        <w:t xml:space="preserve">p</w:t>
      </w:r>
      <w:r>
        <w:t xml:space="preserve"> </w:t>
      </w:r>
      <w:r>
        <w:t xml:space="preserve">= 0.011), and knee flexion followed it up to peak flexion, but the knee extension through contact was missed: 18° too flexed at contact and 36° 120 ms later (significant from −40 to +200 ms,</w:t>
      </w:r>
      <w:r>
        <w:t xml:space="preserve"> </w:t>
      </w:r>
      <w:r>
        <w:rPr>
          <w:i/>
          <w:iCs/>
        </w:rPr>
        <w:t xml:space="preserve">p</w:t>
      </w:r>
      <w:r>
        <w:t xml:space="preserve"> </w:t>
      </w:r>
      <w:r>
        <w:t xml:space="preserve">&lt; 0.001). From a frontal camera the reconstructed knee angle was nearly flat (85–101° against 19–86°; significant over the whole window,</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 p &lt; 0.05)." title="" id="36" name="Picture"/>
            <a:graphic>
              <a:graphicData uri="http://schemas.openxmlformats.org/drawingml/2006/picture">
                <pic:pic>
                  <pic:nvPicPr>
                    <pic:cNvPr descr="../../resultados/paper/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Figure 4.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red bands: intervals where the curves differ (non-parametric SPM,</w:t>
      </w:r>
      <w:r>
        <w:t xml:space="preserve"> </w:t>
      </w:r>
      <w:r>
        <w:rPr>
          <w:i/>
          <w:iCs/>
        </w:rPr>
        <w:t xml:space="preserve">p</w:t>
      </w:r>
      <w:r>
        <w:t xml:space="preserve"> </w:t>
      </w:r>
      <w:r>
        <w:t xml:space="preserve">&lt; 0.05).</w:t>
      </w:r>
    </w:p>
    <w:bookmarkEnd w:id="38"/>
    <w:bookmarkEnd w:id="39"/>
    <w:bookmarkStart w:id="41" w:name="Xca9688b207091b387484486860a141ab6230660"/>
    <w:p>
      <w:pPr>
        <w:pStyle w:val="Heading2"/>
      </w:pPr>
      <w:r>
        <w:t xml:space="preserve">3.3 Agreement in the typical broadcast condition</w:t>
      </w:r>
    </w:p>
    <w:p>
      <w:pPr>
        <w:pStyle w:val="FirstParagraph"/>
      </w:pPr>
      <w:r>
        <w:t xml:space="preserve">Only two features reached moderate between-player agreement (Table 2): kicking-knee peak flexion (MAE 16.5°, ICC 0.64) and kicking-hip peak extension (15.7°, 0.55). The trunk leans were poor (ICC 0.42) despite errors of about 7°, because players differ by only about 7° in them. Support-knee flexion carried a proportional bias (+15.6° on average; Supplementary Figure S6) and no agreement (ICC 0.07). Agreement was lower still from frontal and rear views (Supplementary Figure S7).</w:t>
      </w:r>
    </w:p>
    <w:bookmarkStart w:id="40" w:name="tbl:agreement"/>
    <w:p>
      <w:pPr>
        <w:pStyle w:val="TableCaption"/>
      </w:pPr>
      <w:r>
        <w:t xml:space="preserve">Table 2.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2.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16.5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0.10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0.60</w:t>
            </w:r>
          </w:p>
        </w:tc>
        <w:tc>
          <w:tcPr/>
          <w:p>
            <w:pPr>
              <w:pStyle w:val="Compact"/>
              <w:jc w:val="right"/>
            </w:pPr>
            <w:r>
              <w:t xml:space="preserve">0.16 (0.04–0.30)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to 0.65</w:t>
            </w:r>
          </w:p>
        </w:tc>
        <w:tc>
          <w:tcPr/>
          <w:p>
            <w:pPr>
              <w:pStyle w:val="Compact"/>
              <w:jc w:val="right"/>
            </w:pPr>
            <w:r>
              <w:t xml:space="preserve">0.06 (0.00–0.12)</w:t>
            </w:r>
          </w:p>
        </w:tc>
        <w:tc>
          <w:tcPr/>
          <w:p>
            <w:pPr>
              <w:pStyle w:val="Compact"/>
              <w:jc w:val="left"/>
            </w:pPr>
            <w:r>
              <w:t xml:space="preserve">poor</w:t>
            </w:r>
          </w:p>
        </w:tc>
      </w:tr>
    </w:tbl>
    <w:bookmarkEnd w:id="40"/>
    <w:bookmarkEnd w:id="41"/>
    <w:bookmarkStart w:id="47" w:name="real-video-and-digital-twin-1"/>
    <w:p>
      <w:pPr>
        <w:pStyle w:val="Heading2"/>
      </w:pPr>
      <w:r>
        <w:t xml:space="preserve">3.4 Real video and digital twin</w:t>
      </w:r>
    </w:p>
    <w:p>
      <w:pPr>
        <w:pStyle w:val="FirstParagraph"/>
      </w:pPr>
      <w:r>
        <w:t xml:space="preserve">On the real MoVi recordings (82 participants × 2 cameras) feature errors grew only moderately from native resolution to 50 px (Table 3, Figure 5a). Two features carried large size-independent biases — kicking-hip peak extension (+22°) and trunk sagittal lean (−13°) — consistent with the different definitions of detector keypoints (skin-surface hips and shoulders) and joint centres. At 80 px agreement was good for trunk lateral lean (ICC 0.71) and moderate for hip range of motion (0.67) and knee peak flexion (0.56). The digital twin reproduced the real-image errors (Figure 5b): simulating each recording with its own geometry and the residuals of the other participants predicted the MAE measured on real images with</w:t>
      </w:r>
      <w:r>
        <w:t xml:space="preserve"> </w:t>
      </w:r>
      <w:r>
        <w:rPr>
          <w:i/>
          <w:iCs/>
        </w:rPr>
        <w:t xml:space="preserve">r</w:t>
      </w:r>
      <w:r>
        <w:t xml:space="preserve"> </w:t>
      </w:r>
      <w:r>
        <w:t xml:space="preserve">= 0.84 and a mean discrepancy of 3.9° (13.0° simulated versus 14.8° real); it was slightly optimistic for the two features with definitional biases, so the broadcast errors above are, if anything, lower bounds.</w:t>
      </w:r>
    </w:p>
    <w:bookmarkStart w:id="42" w:name="tbl:real"/>
    <w:p>
      <w:pPr>
        <w:pStyle w:val="TableCaption"/>
      </w:pPr>
      <w:r>
        <w:t xml:space="preserve">Table 3.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3.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0728"/>
            <wp:effectExtent b="0" l="0" r="0" t="0"/>
            <wp:docPr descr="Figure 5.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44" name="Picture"/>
            <a:graphic>
              <a:graphicData uri="http://schemas.openxmlformats.org/drawingml/2006/picture">
                <pic:pic>
                  <pic:nvPicPr>
                    <pic:cNvPr descr="../../resultados/paper/fig7_real_video.png" id="45" name="Picture"/>
                    <pic:cNvPicPr>
                      <a:picLocks noChangeArrowheads="1" noChangeAspect="1"/>
                    </pic:cNvPicPr>
                  </pic:nvPicPr>
                  <pic:blipFill>
                    <a:blip r:embed="rId43"/>
                    <a:stretch>
                      <a:fillRect/>
                    </a:stretch>
                  </pic:blipFill>
                  <pic:spPr bwMode="auto">
                    <a:xfrm>
                      <a:off x="0" y="0"/>
                      <a:ext cx="5334000" cy="2680728"/>
                    </a:xfrm>
                    <a:prstGeom prst="rect">
                      <a:avLst/>
                    </a:prstGeom>
                    <a:noFill/>
                    <a:ln w="9525">
                      <a:noFill/>
                      <a:headEnd/>
                      <a:tailEnd/>
                    </a:ln>
                  </pic:spPr>
                </pic:pic>
              </a:graphicData>
            </a:graphic>
          </wp:inline>
        </w:drawing>
      </w:r>
    </w:p>
    <w:p>
      <w:pPr>
        <w:pStyle w:val="ImageCaption"/>
      </w:pPr>
      <w:r>
        <w:t xml:space="preserve">Figure 5.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46"/>
    <w:bookmarkEnd w:id="47"/>
    <w:bookmarkStart w:id="52" w:name="swing-leg-joint-loads"/>
    <w:p>
      <w:pPr>
        <w:pStyle w:val="Heading2"/>
      </w:pPr>
      <w:r>
        <w:t xml:space="preserve">3.5 Swing-leg joint loads</w:t>
      </w:r>
    </w:p>
    <w:p>
      <w:pPr>
        <w:pStyle w:val="FirstParagraph"/>
      </w:pPr>
      <w:r>
        <w:t xml:space="preserve">In the laboratory each peak moment increased with kick intensity (Spearman ρ = 0.56–0.58 with peak ankle speed,</w:t>
      </w:r>
      <w:r>
        <w:t xml:space="preserve"> </w:t>
      </w:r>
      <w:r>
        <w:rPr>
          <w:i/>
          <w:iCs/>
        </w:rPr>
        <w:t xml:space="preserve">p</w:t>
      </w:r>
      <w:r>
        <w:t xml:space="preserve"> </w:t>
      </w:r>
      <w:r>
        <w:t xml:space="preserve">&lt; 10⁻⁷) and the KLI did so strongly (ρ = 0.79; Figure 6a); the CMU ball kicks produced peak hip-flexor moments of 1.0–2.0 N·m/kg against 0.71 ± 0.30 N·m/kg for the MoVi air kicks. From broadcast-like video the loads were biased upwards, agreement was poor (ICC 0.06–0.16; Table 2, Figure 6b) and calibration slopes were 0.05–0.11. A ridge model predicting the laboratory loads from the six posture features explained 19–34 % of their variance and, applied to broadcast postures, reached λ = 0.30–0.38. Detecting a hazard ratio of 1.5 per SD of the true KLI therefore requires 48 injuries with a laboratory-grade measurement, 126 with the posture surrogate and about 590 with inverse dynamics from broadcast-like video (Figure 6c) — one to two, three to five and twelve to twenty-four seasons of the whole of LaLiga EA Sports, respectively.</w:t>
      </w:r>
    </w:p>
    <w:bookmarkStart w:id="51" w:name="fig:load"/>
    <w:p>
      <w:pPr>
        <w:pStyle w:val="CaptionedFigure"/>
      </w:pPr>
      <w:r>
        <w:drawing>
          <wp:inline>
            <wp:extent cx="5334000" cy="2303210"/>
            <wp:effectExtent b="0" l="0" r="0" t="0"/>
            <wp:docPr descr="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49" name="Picture"/>
            <a:graphic>
              <a:graphicData uri="http://schemas.openxmlformats.org/drawingml/2006/picture">
                <pic:pic>
                  <pic:nvPicPr>
                    <pic:cNvPr descr="../../resultados/paper/fig8_joint_load.png" id="50" name="Picture"/>
                    <pic:cNvPicPr>
                      <a:picLocks noChangeArrowheads="1" noChangeAspect="1"/>
                    </pic:cNvPicPr>
                  </pic:nvPicPr>
                  <pic:blipFill>
                    <a:blip r:embed="rId48"/>
                    <a:stretch>
                      <a:fillRect/>
                    </a:stretch>
                  </pic:blipFill>
                  <pic:spPr bwMode="auto">
                    <a:xfrm>
                      <a:off x="0" y="0"/>
                      <a:ext cx="5334000" cy="2303210"/>
                    </a:xfrm>
                    <a:prstGeom prst="rect">
                      <a:avLst/>
                    </a:prstGeom>
                    <a:noFill/>
                    <a:ln w="9525">
                      <a:noFill/>
                      <a:headEnd/>
                      <a:tailEnd/>
                    </a:ln>
                  </pic:spPr>
                </pic:pic>
              </a:graphicData>
            </a:graphic>
          </wp:inline>
        </w:drawing>
      </w:r>
    </w:p>
    <w:p>
      <w:pPr>
        <w:pStyle w:val="ImageCaption"/>
      </w:pPr>
      <w:r>
        <w:t xml:space="preserve">Figure 6.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51"/>
    <w:bookmarkEnd w:id="52"/>
    <w:bookmarkStart w:id="57" w:name="remedies-1"/>
    <w:p>
      <w:pPr>
        <w:pStyle w:val="Heading2"/>
      </w:pPr>
      <w:r>
        <w:t xml:space="preserve">3.6 Remedies</w:t>
      </w:r>
    </w:p>
    <w:p>
      <w:pPr>
        <w:pStyle w:val="FirstParagraph"/>
      </w:pPr>
      <w:r>
        <w:t xml:space="preserve">Averaging three replay angles raised between-player agreement over a single 45° camera for kicking-hip peak extension (ICC 0.40 → 0.78; MAE 19.3° → 9.4°), kicking-knee peak flexion (0.61 → 0.76), hip range of motion (0.32 → 0.66) and trunk sagittal lean (0.48 → 0.68) (Figure 7); two replays captured most of the gain. A lab-learnt bias correction reduced absolute errors where bias was large (support-knee flexion from 12.9–34.7° to about 7°) but did not raise agreement, and, learnt on air kicks and applied to the CMU ball kicks, made them worse (support-knee flexion 4.8° → 31.2°; kicking-hip peak extension 7.1° → 27.8°).</w:t>
      </w:r>
    </w:p>
    <w:bookmarkStart w:id="56" w:name="fig:improve"/>
    <w:p>
      <w:pPr>
        <w:pStyle w:val="CaptionedFigure"/>
      </w:pPr>
      <w:r>
        <w:drawing>
          <wp:inline>
            <wp:extent cx="5334000" cy="2357637"/>
            <wp:effectExtent b="0" l="0" r="0" t="0"/>
            <wp:docPr descr="Figure 7. Remedies at 80 px and 25 fps (MoVi, unseen participants): single lateral camera versus fusion of three replays, each without and with lab-learnt bias correction." title="" id="54" name="Picture"/>
            <a:graphic>
              <a:graphicData uri="http://schemas.openxmlformats.org/drawingml/2006/picture">
                <pic:pic>
                  <pic:nvPicPr>
                    <pic:cNvPr descr="../../resultados/paper/fig9_improvements.png" id="55" name="Picture"/>
                    <pic:cNvPicPr>
                      <a:picLocks noChangeArrowheads="1" noChangeAspect="1"/>
                    </pic:cNvPicPr>
                  </pic:nvPicPr>
                  <pic:blipFill>
                    <a:blip r:embed="rId53"/>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7. Remedies at 80 px and 25 fps (MoVi, unseen participants): single lateral camera versus fusion of three replays, each without and with lab-learnt bias correction.</w:t>
      </w:r>
    </w:p>
    <w:bookmarkEnd w:id="56"/>
    <w:p>
      <w:pPr>
        <w:pStyle w:val="BodyText"/>
      </w:pPr>
      <w:r>
        <w:rPr>
          <w:b/>
          <w:bCs/>
        </w:rPr>
        <w:t xml:space="preserve">[PENDING — adapted-lifter results with held-out broadcast residuals; Supplementary Figure S8.]</w:t>
      </w:r>
    </w:p>
    <w:bookmarkEnd w:id="57"/>
    <w:bookmarkStart w:id="59" w:name="fitness-for-use"/>
    <w:p>
      <w:pPr>
        <w:pStyle w:val="Heading2"/>
      </w:pPr>
      <w:r>
        <w:t xml:space="preserve">3.7 Fitness for use</w:t>
      </w:r>
    </w:p>
    <w:p>
      <w:pPr>
        <w:pStyle w:val="FirstParagraph"/>
      </w:pPr>
      <w:r>
        <w:t xml:space="preserve">From a single broadcast camera no variable was fit for any use (Table 4). With three fused replays and laboratory bias correction, kicking-knee peak flexion became fit for ranking players (ICC 0.80, 95 % CI 0.70–0.87), kicking-hip peak extension fell just short (0.75, 0.61–0.85), and both trunk leans agreed with laboratory values within 5°. On real video at 80 px only trunk lateral lean met a criterion (comparison with norms; MAE 3.8°). No variable, in any condition, could monitor an individual player (random errors 2.9 to 16.5 times the smallest worthwhile change), and no joint load met any criterion.</w:t>
      </w:r>
    </w:p>
    <w:bookmarkStart w:id="58" w:name="tbl:accept"/>
    <w:p>
      <w:pPr>
        <w:pStyle w:val="TableCaption"/>
      </w:pPr>
      <w:r>
        <w:t xml:space="preserve">Table 4. Fitness for use against literature-based criteria (MoVi; 80 px, 25 fps, known contact). Uses met:</w:t>
      </w:r>
      <w:r>
        <w:t xml:space="preserve"> </w:t>
      </w:r>
      <w:r>
        <w:rPr>
          <w:i/>
          <w:iCs/>
        </w:rPr>
        <w:t xml:space="preserve">norms</w:t>
      </w:r>
      <w:r>
        <w:t xml:space="preserve">, comparison with laboratory norms (angles: MAE ≤ 5° and bias equivalent to zero within ±5°, TOST);</w:t>
      </w:r>
      <w:r>
        <w:t xml:space="preserve"> </w:t>
      </w:r>
      <w:r>
        <w:rPr>
          <w:i/>
          <w:iCs/>
        </w:rPr>
        <w:t xml:space="preserve">ranking</w:t>
      </w:r>
      <w:r>
        <w:t xml:space="preserve">, ranking players (ICC ≥ 0.75 with lower 95 % limit ≥ 0.5). No variable met the monitoring criterion (random error ≤ 0.2 between-player SD) in any condition.</w:t>
      </w:r>
      <w:r>
        <w:t xml:space="preserve"> </w:t>
      </w:r>
      <w:r>
        <w:t xml:space="preserve">“—”</w:t>
      </w:r>
      <w:r>
        <w:t xml:space="preserve">: no use met. Simulated conditions use broadcast residuals and replay views.</w:t>
      </w:r>
    </w:p>
    <w:tbl>
      <w:tblPr>
        <w:tblStyle w:val="Table"/>
        <w:tblW w:type="pct" w:w="5000"/>
        <w:tblLayout w:type="fixed"/>
        <w:tblLook w:firstRow="1" w:lastRow="0" w:firstColumn="0" w:lastColumn="0" w:noHBand="0" w:noVBand="0" w:val="0020"/>
        <w:tblCaption w:val="Table 4. Fitness for use against literature-based criteria (MoVi; 80 px, 25 fps, known contact). Uses met: norms, comparison with laboratory norms (angles: MAE ≤ 5° and bias equivalent to zero within ±5°, TOST); ranking, ranking players (ICC ≥ 0.75 with lower 95 % limit ≥ 0.5). No variable met the monitoring criterion (random error ≤ 0.2 between-player SD) in any condition. “—”: no use met. Simulated conditions use broadcast residuals and replay views."/>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Single camera (simulated)</w:t>
            </w:r>
          </w:p>
        </w:tc>
        <w:tc>
          <w:tcPr/>
          <w:p>
            <w:pPr>
              <w:pStyle w:val="Compact"/>
              <w:jc w:val="left"/>
            </w:pPr>
            <w:r>
              <w:t xml:space="preserve">3 replays + bias correction (simulated)</w:t>
            </w:r>
          </w:p>
        </w:tc>
        <w:tc>
          <w:tcPr/>
          <w:p>
            <w:pPr>
              <w:pStyle w:val="Compact"/>
              <w:jc w:val="left"/>
            </w:pPr>
            <w:r>
              <w:t xml:space="preserve">Real video</w:t>
            </w:r>
          </w:p>
        </w:tc>
      </w:tr>
      <w:tr>
        <w:tc>
          <w:tcPr/>
          <w:p>
            <w:pPr>
              <w:pStyle w:val="Compact"/>
              <w:jc w:val="left"/>
            </w:pPr>
            <w:r>
              <w:t xml:space="preserve">Support-knee flexion at contact (°)</w:t>
            </w:r>
          </w:p>
        </w:tc>
        <w:tc>
          <w:tcPr/>
          <w:p>
            <w:pPr>
              <w:pStyle w:val="Compact"/>
              <w:jc w:val="left"/>
            </w:pPr>
            <w:r>
              <w:t xml:space="preserve">— (MAE 20.4°; ICC 0.07, 0.02–0.13)</w:t>
            </w:r>
          </w:p>
        </w:tc>
        <w:tc>
          <w:tcPr/>
          <w:p>
            <w:pPr>
              <w:pStyle w:val="Compact"/>
              <w:jc w:val="left"/>
            </w:pPr>
            <w:r>
              <w:t xml:space="preserve">— (MAE 7.0°; ICC 0.11, 0.00–0.23)</w:t>
            </w:r>
          </w:p>
        </w:tc>
        <w:tc>
          <w:tcPr/>
          <w:p>
            <w:pPr>
              <w:pStyle w:val="Compact"/>
              <w:jc w:val="left"/>
            </w:pPr>
            <w:r>
              <w:t xml:space="preserve">— (MAE 12.5°; ICC 0.27, 0.15–0.40)</w:t>
            </w:r>
          </w:p>
        </w:tc>
      </w:tr>
      <w:tr>
        <w:tc>
          <w:tcPr/>
          <w:p>
            <w:pPr>
              <w:pStyle w:val="Compact"/>
              <w:jc w:val="left"/>
            </w:pPr>
            <w:r>
              <w:t xml:space="preserve">Kicking-knee peak flexion (°)</w:t>
            </w:r>
          </w:p>
        </w:tc>
        <w:tc>
          <w:tcPr/>
          <w:p>
            <w:pPr>
              <w:pStyle w:val="Compact"/>
              <w:jc w:val="left"/>
            </w:pPr>
            <w:r>
              <w:t xml:space="preserve">— (MAE 16.5°; ICC 0.64, 0.55–0.71)</w:t>
            </w:r>
          </w:p>
        </w:tc>
        <w:tc>
          <w:tcPr/>
          <w:p>
            <w:pPr>
              <w:pStyle w:val="Compact"/>
              <w:jc w:val="left"/>
            </w:pPr>
            <w:r>
              <w:rPr>
                <w:b/>
                <w:bCs/>
              </w:rPr>
              <w:t xml:space="preserve">ranking</w:t>
            </w:r>
            <w:r>
              <w:t xml:space="preserve"> </w:t>
            </w:r>
            <w:r>
              <w:t xml:space="preserve">(MAE 12.3°; ICC 0.80, 0.70–0.87)</w:t>
            </w:r>
          </w:p>
        </w:tc>
        <w:tc>
          <w:tcPr/>
          <w:p>
            <w:pPr>
              <w:pStyle w:val="Compact"/>
              <w:jc w:val="left"/>
            </w:pPr>
            <w:r>
              <w:t xml:space="preserve">— (MAE 20.3°; ICC 0.56, 0.34–0.73)</w:t>
            </w:r>
          </w:p>
        </w:tc>
      </w:tr>
      <w:tr>
        <w:tc>
          <w:tcPr/>
          <w:p>
            <w:pPr>
              <w:pStyle w:val="Compact"/>
              <w:jc w:val="left"/>
            </w:pPr>
            <w:r>
              <w:t xml:space="preserve">Kicking-hip peak extension (°)</w:t>
            </w:r>
          </w:p>
        </w:tc>
        <w:tc>
          <w:tcPr/>
          <w:p>
            <w:pPr>
              <w:pStyle w:val="Compact"/>
              <w:jc w:val="left"/>
            </w:pPr>
            <w:r>
              <w:t xml:space="preserve">— (MAE 15.7°; ICC 0.55, 0.39–0.68)</w:t>
            </w:r>
          </w:p>
        </w:tc>
        <w:tc>
          <w:tcPr/>
          <w:p>
            <w:pPr>
              <w:pStyle w:val="Compact"/>
              <w:jc w:val="left"/>
            </w:pPr>
            <w:r>
              <w:t xml:space="preserve">— (MAE 9.3°; ICC 0.75, 0.61–0.85)</w:t>
            </w:r>
          </w:p>
        </w:tc>
        <w:tc>
          <w:tcPr/>
          <w:p>
            <w:pPr>
              <w:pStyle w:val="Compact"/>
              <w:jc w:val="left"/>
            </w:pPr>
            <w:r>
              <w:t xml:space="preserve">— (MAE 24.1°; ICC 0.39, 0.30–0.47)</w:t>
            </w:r>
          </w:p>
        </w:tc>
      </w:tr>
      <w:tr>
        <w:tc>
          <w:tcPr/>
          <w:p>
            <w:pPr>
              <w:pStyle w:val="Compact"/>
              <w:jc w:val="left"/>
            </w:pPr>
            <w:r>
              <w:t xml:space="preserve">Kicking-hip range of motion (°)</w:t>
            </w:r>
          </w:p>
        </w:tc>
        <w:tc>
          <w:tcPr/>
          <w:p>
            <w:pPr>
              <w:pStyle w:val="Compact"/>
              <w:jc w:val="left"/>
            </w:pPr>
            <w:r>
              <w:t xml:space="preserve">— (MAE 18.0°; ICC 0.45, 0.31–0.63)</w:t>
            </w:r>
          </w:p>
        </w:tc>
        <w:tc>
          <w:tcPr/>
          <w:p>
            <w:pPr>
              <w:pStyle w:val="Compact"/>
              <w:jc w:val="left"/>
            </w:pPr>
            <w:r>
              <w:t xml:space="preserve">— (MAE 12.9°; ICC 0.58, 0.47–0.68)</w:t>
            </w:r>
          </w:p>
        </w:tc>
        <w:tc>
          <w:tcPr/>
          <w:p>
            <w:pPr>
              <w:pStyle w:val="Compact"/>
              <w:jc w:val="left"/>
            </w:pPr>
            <w:r>
              <w:t xml:space="preserve">— (MAE 15.5°; ICC 0.67, 0.58–0.76)</w:t>
            </w:r>
          </w:p>
        </w:tc>
      </w:tr>
      <w:tr>
        <w:tc>
          <w:tcPr/>
          <w:p>
            <w:pPr>
              <w:pStyle w:val="Compact"/>
              <w:jc w:val="left"/>
            </w:pPr>
            <w:r>
              <w:t xml:space="preserve">Trunk sagittal lean at contact (°)</w:t>
            </w:r>
          </w:p>
        </w:tc>
        <w:tc>
          <w:tcPr/>
          <w:p>
            <w:pPr>
              <w:pStyle w:val="Compact"/>
              <w:jc w:val="left"/>
            </w:pPr>
            <w:r>
              <w:t xml:space="preserve">— (MAE 7.1°; ICC 0.42, 0.28–0.54)</w:t>
            </w:r>
          </w:p>
        </w:tc>
        <w:tc>
          <w:tcPr/>
          <w:p>
            <w:pPr>
              <w:pStyle w:val="Compact"/>
              <w:jc w:val="left"/>
            </w:pPr>
            <w:r>
              <w:rPr>
                <w:b/>
                <w:bCs/>
              </w:rPr>
              <w:t xml:space="preserve">norms</w:t>
            </w:r>
            <w:r>
              <w:t xml:space="preserve"> </w:t>
            </w:r>
            <w:r>
              <w:t xml:space="preserve">(MAE 3.8°; ICC 0.64, 0.48–0.77)</w:t>
            </w:r>
          </w:p>
        </w:tc>
        <w:tc>
          <w:tcPr/>
          <w:p>
            <w:pPr>
              <w:pStyle w:val="Compact"/>
              <w:jc w:val="left"/>
            </w:pPr>
            <w:r>
              <w:t xml:space="preserve">— (MAE 13.6°; ICC 0.15, 0.10–0.21)</w:t>
            </w:r>
          </w:p>
        </w:tc>
      </w:tr>
      <w:tr>
        <w:tc>
          <w:tcPr/>
          <w:p>
            <w:pPr>
              <w:pStyle w:val="Compact"/>
              <w:jc w:val="left"/>
            </w:pPr>
            <w:r>
              <w:t xml:space="preserve">Trunk lateral lean at contact (°)</w:t>
            </w:r>
          </w:p>
        </w:tc>
        <w:tc>
          <w:tcPr/>
          <w:p>
            <w:pPr>
              <w:pStyle w:val="Compact"/>
              <w:jc w:val="left"/>
            </w:pPr>
            <w:r>
              <w:t xml:space="preserve">— (MAE 7.0°; ICC 0.42, 0.32–0.51)</w:t>
            </w:r>
          </w:p>
        </w:tc>
        <w:tc>
          <w:tcPr/>
          <w:p>
            <w:pPr>
              <w:pStyle w:val="Compact"/>
              <w:jc w:val="left"/>
            </w:pPr>
            <w:r>
              <w:rPr>
                <w:b/>
                <w:bCs/>
              </w:rPr>
              <w:t xml:space="preserve">norms</w:t>
            </w:r>
            <w:r>
              <w:t xml:space="preserve"> </w:t>
            </w:r>
            <w:r>
              <w:t xml:space="preserve">(MAE 4.6°; ICC 0.56, 0.46–0.67)</w:t>
            </w:r>
          </w:p>
        </w:tc>
        <w:tc>
          <w:tcPr/>
          <w:p>
            <w:pPr>
              <w:pStyle w:val="Compact"/>
              <w:jc w:val="left"/>
            </w:pPr>
            <w:r>
              <w:rPr>
                <w:b/>
                <w:bCs/>
              </w:rPr>
              <w:t xml:space="preserve">norms</w:t>
            </w:r>
            <w:r>
              <w:t xml:space="preserve"> </w:t>
            </w:r>
            <w:r>
              <w:t xml:space="preserve">(MAE 3.8°; ICC 0.71, 0.62–0.78)</w:t>
            </w:r>
          </w:p>
        </w:tc>
      </w:tr>
      <w:tr>
        <w:tc>
          <w:tcPr/>
          <w:p>
            <w:pPr>
              <w:pStyle w:val="Compact"/>
              <w:jc w:val="left"/>
            </w:pPr>
            <w:r>
              <w:t xml:space="preserve">Peak hip-flexor moment (N·m/kg)</w:t>
            </w:r>
          </w:p>
        </w:tc>
        <w:tc>
          <w:tcPr/>
          <w:p>
            <w:pPr>
              <w:pStyle w:val="Compact"/>
              <w:jc w:val="left"/>
            </w:pPr>
            <w:r>
              <w:t xml:space="preserve">— (MAE 0.63 N·m/kg; ICC 0.10, 0.06–0.17)</w:t>
            </w:r>
          </w:p>
        </w:tc>
        <w:tc>
          <w:tcPr/>
          <w:p>
            <w:pPr>
              <w:pStyle w:val="Compact"/>
              <w:jc w:val="left"/>
            </w:pPr>
            <w:r>
              <w:t xml:space="preserve">— (MAE 0.21 N·m/kg; ICC 0.21, 0.13–0.30)</w:t>
            </w:r>
          </w:p>
        </w:tc>
        <w:tc>
          <w:tcPr/>
          <w:p>
            <w:pPr>
              <w:pStyle w:val="Compact"/>
              <w:jc w:val="left"/>
            </w:pPr>
            <w:r>
              <w:t xml:space="preserve">— (MAE 0.39 N·m/kg; ICC 0.28, 0.13–0.51)</w:t>
            </w:r>
          </w:p>
        </w:tc>
      </w:tr>
      <w:tr>
        <w:tc>
          <w:tcPr/>
          <w:p>
            <w:pPr>
              <w:pStyle w:val="Compact"/>
              <w:jc w:val="left"/>
            </w:pPr>
            <w:r>
              <w:t xml:space="preserve">Peak knee-extensor moment (N·m/kg)</w:t>
            </w:r>
          </w:p>
        </w:tc>
        <w:tc>
          <w:tcPr/>
          <w:p>
            <w:pPr>
              <w:pStyle w:val="Compact"/>
              <w:jc w:val="left"/>
            </w:pPr>
            <w:r>
              <w:t xml:space="preserve">— (MAE 0.17 N·m/kg; ICC 0.16, 0.04–0.30)</w:t>
            </w:r>
          </w:p>
        </w:tc>
        <w:tc>
          <w:tcPr/>
          <w:p>
            <w:pPr>
              <w:pStyle w:val="Compact"/>
              <w:jc w:val="left"/>
            </w:pPr>
            <w:r>
              <w:t xml:space="preserve">— (MAE 0.07 N·m/kg; ICC 0.21, 0.08–0.33)</w:t>
            </w:r>
          </w:p>
        </w:tc>
        <w:tc>
          <w:tcPr/>
          <w:p>
            <w:pPr>
              <w:pStyle w:val="Compact"/>
              <w:jc w:val="left"/>
            </w:pPr>
            <w:r>
              <w:t xml:space="preserve">— (MAE 0.13 N·m/kg; ICC 0.21, 0.02–0.49)</w:t>
            </w:r>
          </w:p>
        </w:tc>
      </w:tr>
      <w:tr>
        <w:tc>
          <w:tcPr/>
          <w:p>
            <w:pPr>
              <w:pStyle w:val="Compact"/>
              <w:jc w:val="left"/>
            </w:pPr>
            <w:r>
              <w:t xml:space="preserve">Peak knee-flexor moment (N·m/kg)</w:t>
            </w:r>
          </w:p>
        </w:tc>
        <w:tc>
          <w:tcPr/>
          <w:p>
            <w:pPr>
              <w:pStyle w:val="Compact"/>
              <w:jc w:val="left"/>
            </w:pPr>
            <w:r>
              <w:t xml:space="preserve">— (MAE 0.21 N·m/kg; ICC 0.06, 0.00–0.12)</w:t>
            </w:r>
          </w:p>
        </w:tc>
        <w:tc>
          <w:tcPr/>
          <w:p>
            <w:pPr>
              <w:pStyle w:val="Compact"/>
              <w:jc w:val="left"/>
            </w:pPr>
            <w:r>
              <w:t xml:space="preserve">— (MAE 0.06 N·m/kg; ICC 0.05, 0.00–0.14)</w:t>
            </w:r>
          </w:p>
        </w:tc>
        <w:tc>
          <w:tcPr/>
          <w:p>
            <w:pPr>
              <w:pStyle w:val="Compact"/>
              <w:jc w:val="left"/>
            </w:pPr>
            <w:r>
              <w:t xml:space="preserve">— (MAE 0.20 N·m/kg; ICC 0.06, 0.00–0.17)</w:t>
            </w:r>
          </w:p>
        </w:tc>
      </w:tr>
    </w:tbl>
    <w:bookmarkEnd w:id="58"/>
    <w:bookmarkEnd w:id="59"/>
    <w:bookmarkStart w:id="60" w:name="field-example-1"/>
    <w:p>
      <w:pPr>
        <w:pStyle w:val="Heading2"/>
      </w:pPr>
      <w:r>
        <w:t xml:space="preserve">3.8 Field example</w:t>
      </w:r>
    </w:p>
    <w:p>
      <w:pPr>
        <w:pStyle w:val="FirstParagraph"/>
      </w:pPr>
      <w:r>
        <w:rPr>
          <w:b/>
          <w:bCs/>
        </w:rPr>
        <w:t xml:space="preserve">[PENDING — field-example results: features and moments of the author’s kicks, native versus 80 px, strong versus soft kicks; Figure: frames with skeleton overlay, 3D reconstruction and angle curves.]</w:t>
      </w:r>
    </w:p>
    <w:bookmarkEnd w:id="60"/>
    <w:bookmarkEnd w:id="61"/>
    <w:bookmarkStart w:id="68" w:name="discussion"/>
    <w:p>
      <w:pPr>
        <w:pStyle w:val="Heading1"/>
      </w:pPr>
      <w:r>
        <w:t xml:space="preserve">4. Discussion</w:t>
      </w:r>
    </w:p>
    <w:bookmarkStart w:id="62" w:name="what-broadcast-video-can-measure-today"/>
    <w:p>
      <w:pPr>
        <w:pStyle w:val="Heading2"/>
      </w:pPr>
      <w:r>
        <w:t xml:space="preserve">4.1 What broadcast video can measure today</w:t>
      </w:r>
    </w:p>
    <w:p>
      <w:pPr>
        <w:pStyle w:val="FirstParagraph"/>
      </w:pPr>
      <w:r>
        <w:t xml:space="preserve">With open, general-purpose models a single broadcast camera does not deliver usable kicking biomechanics: no variable met a literature-based criterion for any practical use, leg-angle errors were 15–20° — of the order of the differences between players — and the best between-player agreement was moderate. A small absolute error is not enough: trunk leans were measured within about 7°, yet could not rank players because players differ little in them; a broadcast metric must be judged against the spread of the population it will rank. Frame rate did not matter, whereas the camera view, the detector’s error at small sizes and the contact instant did, so progress depends on better 2D detection of small players, the right camera and knowing when the foot meets the ball rather than on higher frame rates. Information that broadcasts already have changes the verdict: fusing the replay angles shown for most shots, with a laboratory-learnt correction, made kicking-knee flexion fit for ranking players and the trunk leans comparable with laboratory norms. Monitoring an individual, however — for example detecting that a player’s backswing has changed after injury — remained out of reach by a factor of three or more. Finally, Gaussian noise of the right magnitude over-stated errors by up to 1.8 times, so simulation studies of video biomechanics should use real residual sequences or, better, check themselves against real images, as our digital twin did.</w:t>
      </w:r>
    </w:p>
    <w:bookmarkEnd w:id="62"/>
    <w:bookmarkStart w:id="63" w:name="X92001cd23f14ef1b46d81bc059490541d6678cd"/>
    <w:p>
      <w:pPr>
        <w:pStyle w:val="Heading2"/>
      </w:pPr>
      <w:r>
        <w:t xml:space="preserve">4.2 The connected ball and football-specific data</w:t>
      </w:r>
    </w:p>
    <w:p>
      <w:pPr>
        <w:pStyle w:val="FirstParagraph"/>
      </w:pPr>
      <w:r>
        <w:t xml:space="preserve">Knowing the contact instant reduced the error of the leg features by a quarter. LaLiga’s connected ball timestamps every touch</w:t>
      </w:r>
      <w:r>
        <w:t xml:space="preserve"> </w:t>
      </w:r>
      <w:r>
        <w:t xml:space="preserve">(</w:t>
      </w:r>
      <w:hyperlink w:anchor="ref-laliga2026">
        <w:r>
          <w:rPr>
            <w:rStyle w:val="Hyperlink"/>
          </w:rPr>
          <w:t xml:space="preserve">LaLiga 2026</w:t>
        </w:r>
      </w:hyperlink>
      <w:r>
        <w:t xml:space="preserve">)</w:t>
      </w:r>
      <w:r>
        <w:t xml:space="preserve"> </w:t>
      </w:r>
      <w:r>
        <w:t xml:space="preserve">at a resolution that our CMU analysis shows to be sufficient (the ankle-speed peak precedes contact by about 20 ms, which changes the features by at most 2°), so combining the ball’s timestamp with broadcast pose should be a default rather than a refinement. The limits of the other remedies point to the same bottleneck: a correction learnt on air kicks made the errors of real ball kicks worse</w:t>
      </w:r>
      <w:r>
        <w:t xml:space="preserve"> </w:t>
      </w:r>
      <w:r>
        <w:rPr>
          <w:b/>
          <w:bCs/>
        </w:rPr>
        <w:t xml:space="preserve">[PENDING — clause on the adapted lifter]</w:t>
      </w:r>
      <w:r>
        <w:t xml:space="preserve">. Models and corrections must therefore be trained and validated on football kicks with run-up and impact, filmed by broadcast cameras with synchronised 3D. Such data exist inside clubs and leagues, and the released protocol turns any such dataset into a validation benchmark.</w:t>
      </w:r>
    </w:p>
    <w:bookmarkEnd w:id="63"/>
    <w:bookmarkStart w:id="64" w:name="X6bc4b48da7a46e5587728d9124b017c3c97e3c1"/>
    <w:p>
      <w:pPr>
        <w:pStyle w:val="Heading2"/>
      </w:pPr>
      <w:r>
        <w:t xml:space="preserve">4.3 A joint-load score: measurable in the laboratory, not yet from television</w:t>
      </w:r>
    </w:p>
    <w:p>
      <w:pPr>
        <w:pStyle w:val="FirstParagraph"/>
      </w:pPr>
      <w:r>
        <w:t xml:space="preserve">The swing-leg model behaved as a load measure should: the KLI increased steeply with kick intensity, ball kicks loaded the hip flexors up to almost three times more than air kicks, and a slow kick had a fraction of the load of a full kick by the same player. Peak hip-flexor and knee moments are the mechanical counterpart of the eccentric demand on rectus femoris and iliopsoas in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score could not be recovered (λ ≈ 0.08), because inverse dynamics needs second derivatives that a 25-fps reconstruction does not contain. As measurement error attenuates any true association, an injury study would need about 48 kicking-related injuries with a laboratory-grade measurement but about 590 with today’s broadcast estimate — a study so long that squads, training and medical practice would change during it. Reliability must therefore be raised before any prospective injury study is attempted.</w:t>
      </w:r>
    </w:p>
    <w:bookmarkEnd w:id="64"/>
    <w:bookmarkStart w:id="65" w:name="practical-implications"/>
    <w:p>
      <w:pPr>
        <w:pStyle w:val="Heading2"/>
      </w:pPr>
      <w:r>
        <w:t xml:space="preserve">4.4 Practical implications</w:t>
      </w:r>
    </w:p>
    <w:p>
      <w:pPr>
        <w:pStyle w:val="FirstParagraph"/>
      </w:pPr>
      <w:r>
        <w:t xml:space="preserve">Within the limits below, our results suggest that single-camera broadcast estimates of leg angles, velocities or joint loads should not be used for decisions about individual players; that comparisons between players should fuse the available replays, anchor each kick to the ball’s contact time and use only variables shown fit for ranking; and that any vendor metric of technique or load should be accompanied by its agreement with motion capture under broadcast conditions.</w:t>
      </w:r>
    </w:p>
    <w:bookmarkEnd w:id="65"/>
    <w:bookmarkStart w:id="66" w:name="limitations"/>
    <w:p>
      <w:pPr>
        <w:pStyle w:val="Heading2"/>
      </w:pPr>
      <w:r>
        <w:t xml:space="preserve">4.5 Limitations</w:t>
      </w:r>
    </w:p>
    <w:p>
      <w:pPr>
        <w:pStyle w:val="FirstParagraph"/>
      </w:pPr>
      <w:r>
        <w:t xml:space="preserve">The reference is laboratory-based: only seven kicks (two participants) are football kicks with a ball, and the 83 MoVi kicks are air kicks by non-footballers, slower than match shots; lifter errors were larger for ball kicks (15.0° versus 9.2° without noise), so our errors are probably optimistic for match shots. The 2D error comes from 200 shots of one competition, with annotations that include their own error, and is extrapolated above about 90 px. The virtual camera reproduces geometry, size, frame rate and detector error, but not motion blur, occlusion or camera motion, and the digital twin checks this only on laboratory images. Scale and the vertical were given; in practice both add error. The load model is simplified and identical for reference and estimate, so it quantifies measurability rather than tissue loading. The acceptability criteria come from the literature but were applied after the main results were known, the study was not pre-registered, and the injury incidence is an explicit assumption. We evaluated one detector and one lifter, which is why the benchmark is released.</w:t>
      </w:r>
    </w:p>
    <w:bookmarkEnd w:id="66"/>
    <w:bookmarkStart w:id="67" w:name="conclusions"/>
    <w:p>
      <w:pPr>
        <w:pStyle w:val="Heading2"/>
      </w:pPr>
      <w:r>
        <w:t xml:space="preserve">4.6 Conclusions</w:t>
      </w:r>
    </w:p>
    <w:p>
      <w:pPr>
        <w:pStyle w:val="FirstParagraph"/>
      </w:pPr>
      <w:r>
        <w:t xml:space="preserve">Broadcast detection error, about 10 % of a typical shooter’s height, is the bottleneck. From a single broadcast camera no kicking variable is fit for comparison with laboratory norms, ranking players or monitoring individuals; fusing replays and anchoring kicks to the ball’s contact time make a few variables usable for ranking or comparison with norms. A swing-leg joint-load index is valid in the laboratory but not measurable from broadcast today, and validating it as an injury predictor would require football-specific data to raise its reliability first.</w:t>
      </w:r>
    </w:p>
    <w:bookmarkEnd w:id="67"/>
    <w:bookmarkEnd w:id="68"/>
    <w:bookmarkStart w:id="69"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We thank the BioMotion Lab (MoVi), the authors of 3DSP/AutoSoccerPose and SoccerNet, OpenMMLab (RTMW, YOLOX) and the authors of MotionAGFormer for releasing their data and models.</w:t>
      </w:r>
    </w:p>
    <w:bookmarkEnd w:id="69"/>
    <w:bookmarkStart w:id="70" w:name="author-contributions-credit"/>
    <w:p>
      <w:pPr>
        <w:pStyle w:val="Heading1"/>
      </w:pPr>
      <w:r>
        <w:t xml:space="preserve">Author contributions (CRediT)</w:t>
      </w:r>
    </w:p>
    <w:p>
      <w:pPr>
        <w:pStyle w:val="FirstParagraph"/>
      </w:pPr>
      <w:r>
        <w:t xml:space="preserve">Roberto Martín Gutiérrez: Conceptualization, Methodology, Software, Validation, Formal analysis, Investigation, Data curation, Visualization, Writing – original draft, Writing – review &amp; editing.</w:t>
      </w:r>
    </w:p>
    <w:bookmarkEnd w:id="70"/>
    <w:bookmarkStart w:id="71" w:name="funding"/>
    <w:p>
      <w:pPr>
        <w:pStyle w:val="Heading1"/>
      </w:pPr>
      <w:r>
        <w:t xml:space="preserve">Funding</w:t>
      </w:r>
    </w:p>
    <w:p>
      <w:pPr>
        <w:pStyle w:val="FirstParagraph"/>
      </w:pPr>
      <w:r>
        <w:t xml:space="preserve">No funding was obtained for this work.</w:t>
      </w:r>
    </w:p>
    <w:bookmarkEnd w:id="71"/>
    <w:bookmarkStart w:id="72" w:name="disclosure-of-interest"/>
    <w:p>
      <w:pPr>
        <w:pStyle w:val="Heading1"/>
      </w:pPr>
      <w:r>
        <w:t xml:space="preserve">Disclosure of interest</w:t>
      </w:r>
    </w:p>
    <w:p>
      <w:pPr>
        <w:pStyle w:val="FirstParagraph"/>
      </w:pPr>
      <w:r>
        <w:t xml:space="preserve">The author reports there are no competing interests to declare. The author is employed as a research engineer in AI and computational cardiology at ICICOR – Hospital Clínico Universitario de Valladolid; this study was carried out independently, and the employer had no role in it.</w:t>
      </w:r>
    </w:p>
    <w:bookmarkEnd w:id="72"/>
    <w:bookmarkStart w:id="73" w:name="declaration-of-generative-ai-use"/>
    <w:p>
      <w:pPr>
        <w:pStyle w:val="Heading1"/>
      </w:pPr>
      <w:r>
        <w:t xml:space="preserve">Declaration of generative AI use</w:t>
      </w:r>
    </w:p>
    <w:p>
      <w:pPr>
        <w:pStyle w:val="FirstParagraph"/>
      </w:pPr>
      <w:r>
        <w:t xml:space="preserve">Generative AI (Claude, Anthropic, used through Claude Code) assisted extensively with the development of the analysis code, the execution and documentation of the analyses, the production of the figures, and the drafting, editing and Spanish translation of the manuscript. The author reviewed all code, outputs and text, verified the analyses and takes full responsibility for the content.</w:t>
      </w:r>
    </w:p>
    <w:bookmarkEnd w:id="73"/>
    <w:bookmarkStart w:id="74" w:name="data-availability-statement"/>
    <w:p>
      <w:pPr>
        <w:pStyle w:val="Heading1"/>
      </w:pPr>
      <w:r>
        <w:t xml:space="preserve">Data availability statement</w:t>
      </w:r>
    </w:p>
    <w:p>
      <w:pPr>
        <w:pStyle w:val="FirstParagraph"/>
      </w:pPr>
      <w:r>
        <w:t xml:space="preserve">The datasets analysed are available from their owners: the CMU Graphics Lab Motion Capture Database (mocap.cs.cmu.edu), MoVi (non-commercial research licence;</w:t>
      </w:r>
      <w:r>
        <w:t xml:space="preserve"> </w:t>
      </w:r>
      <w:r>
        <w:t xml:space="preserve">(</w:t>
      </w:r>
      <w:hyperlink w:anchor="ref-ghorbani2021">
        <w:r>
          <w:rPr>
            <w:rStyle w:val="Hyperlink"/>
          </w:rPr>
          <w:t xml:space="preserve">Ghorbani et al. 2021</w:t>
        </w:r>
      </w:hyperlink>
      <w:r>
        <w:t xml:space="preserve">)</w:t>
      </w:r>
      <w:r>
        <w:t xml:space="preserve">) and 3D Shot Posture</w:t>
      </w:r>
      <w:r>
        <w:t xml:space="preserve"> </w:t>
      </w:r>
      <w:r>
        <w:t xml:space="preserve">(</w:t>
      </w:r>
      <w:hyperlink w:anchor="ref-yeung2024">
        <w:r>
          <w:rPr>
            <w:rStyle w:val="Hyperlink"/>
          </w:rPr>
          <w:t xml:space="preserve">Yeung et al. 2024</w:t>
        </w:r>
      </w:hyperlink>
      <w:r>
        <w:t xml:space="preserve">)</w:t>
      </w:r>
      <w:r>
        <w:t xml:space="preserve">. Aggregated results, all figures and the broadcast residual bank (numerical 2D residuals, no images) are available at https://github.com/convderover/broadcast-kick-biomechanics</w:t>
      </w:r>
      <w:r>
        <w:t xml:space="preserve"> </w:t>
      </w:r>
      <w:r>
        <w:rPr>
          <w:b/>
          <w:bCs/>
        </w:rPr>
        <w:t xml:space="preserve">[PENDING: Zenodo DOI]</w:t>
      </w:r>
      <w:r>
        <w:t xml:space="preserve">. Per-participant results derived from MoVi cannot be redistributed under its licence but are regenerated by the released code.</w:t>
      </w:r>
    </w:p>
    <w:bookmarkEnd w:id="74"/>
    <w:bookmarkStart w:id="75" w:name="code-availability-statement"/>
    <w:p>
      <w:pPr>
        <w:pStyle w:val="Heading1"/>
      </w:pPr>
      <w:r>
        <w:t xml:space="preserve">Code availability statement</w:t>
      </w:r>
    </w:p>
    <w:p>
      <w:pPr>
        <w:pStyle w:val="FirstParagraph"/>
      </w:pPr>
      <w:r>
        <w:t xml:space="preserve">All code (Python) for the simulation, reconstruction, statistics and figures, with unit tests, is available at https://github.com/convderover/broadcast-kick-biomechanics under the MIT licence and archived at Zenodo</w:t>
      </w:r>
      <w:r>
        <w:t xml:space="preserve"> </w:t>
      </w:r>
      <w:r>
        <w:rPr>
          <w:b/>
          <w:bCs/>
        </w:rPr>
        <w:t xml:space="preserve">[PENDING: DOI]</w:t>
      </w:r>
      <w:r>
        <w:t xml:space="preserve">. The complete statistical outputs are provided as a supplementary file.</w:t>
      </w:r>
    </w:p>
    <w:bookmarkEnd w:id="75"/>
    <w:bookmarkStart w:id="76" w:name="data-deposition"/>
    <w:p>
      <w:pPr>
        <w:pStyle w:val="Heading1"/>
      </w:pPr>
      <w:r>
        <w:t xml:space="preserve">Data deposition</w:t>
      </w:r>
    </w:p>
    <w:p>
      <w:pPr>
        <w:pStyle w:val="FirstParagraph"/>
      </w:pPr>
      <w:r>
        <w:t xml:space="preserve">The broadcast residual bank and the aggregated results are deposited in Zenodo</w:t>
      </w:r>
      <w:r>
        <w:t xml:space="preserve"> </w:t>
      </w:r>
      <w:r>
        <w:rPr>
          <w:b/>
          <w:bCs/>
        </w:rPr>
        <w:t xml:space="preserve">[PENDING: DOI]</w:t>
      </w:r>
      <w:r>
        <w:t xml:space="preserve">.</w:t>
      </w:r>
    </w:p>
    <w:bookmarkEnd w:id="76"/>
    <w:bookmarkStart w:id="77" w:name="ethics-approval-and-informed-consent"/>
    <w:p>
      <w:pPr>
        <w:pStyle w:val="Heading1"/>
      </w:pPr>
      <w:r>
        <w:t xml:space="preserve">Ethics approval and informed consent</w:t>
      </w:r>
    </w:p>
    <w:p>
      <w:pPr>
        <w:pStyle w:val="FirstParagraph"/>
      </w:pPr>
      <w:r>
        <w:t xml:space="preserve">This secondary analysis used only public, de-identified datasets collected by their owners with ethical approval and participants’ informed consent; no new data were collected for the main analyses, so no further approval was required. The only person in the field example is the author, who consents to the publication of his images.</w:t>
      </w:r>
    </w:p>
    <w:bookmarkEnd w:id="77"/>
    <w:bookmarkStart w:id="168" w:name="references"/>
    <w:p>
      <w:pPr>
        <w:pStyle w:val="Heading1"/>
      </w:pPr>
      <w:r>
        <w:t xml:space="preserve">References</w:t>
      </w:r>
    </w:p>
    <w:bookmarkStart w:id="167" w:name="refs"/>
    <w:bookmarkStart w:id="79"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78">
        <w:r>
          <w:rPr>
            <w:rStyle w:val="Hyperlink"/>
          </w:rPr>
          <w:t xml:space="preserve">https://doi.org/10.1080/02640410500386050</w:t>
        </w:r>
      </w:hyperlink>
      <w:r>
        <w:t xml:space="preserve">.</w:t>
      </w:r>
    </w:p>
    <w:bookmarkEnd w:id="79"/>
    <w:bookmarkStart w:id="81"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80">
        <w:r>
          <w:rPr>
            <w:rStyle w:val="Hyperlink"/>
          </w:rPr>
          <w:t xml:space="preserve">https://doi.org/10.1109/CVPRW59228.2023.00539</w:t>
        </w:r>
      </w:hyperlink>
      <w:r>
        <w:t xml:space="preserve">.</w:t>
      </w:r>
    </w:p>
    <w:bookmarkEnd w:id="81"/>
    <w:bookmarkStart w:id="83"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82">
        <w:r>
          <w:rPr>
            <w:rStyle w:val="Hyperlink"/>
          </w:rPr>
          <w:t xml:space="preserve">https://doi.org/10.1016/S0140-6736(86)90837-8</w:t>
        </w:r>
      </w:hyperlink>
      <w:r>
        <w:t xml:space="preserve">.</w:t>
      </w:r>
    </w:p>
    <w:bookmarkEnd w:id="83"/>
    <w:bookmarkStart w:id="85"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4">
        <w:r>
          <w:rPr>
            <w:rStyle w:val="Hyperlink"/>
          </w:rPr>
          <w:t xml:space="preserve">Http://mocap.cs.cmu.edu</w:t>
        </w:r>
      </w:hyperlink>
      <w:r>
        <w:t xml:space="preserve">.</w:t>
      </w:r>
    </w:p>
    <w:bookmarkEnd w:id="85"/>
    <w:bookmarkStart w:id="87"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86">
        <w:r>
          <w:rPr>
            <w:rStyle w:val="Hyperlink"/>
          </w:rPr>
          <w:t xml:space="preserve">https://doi.org/10.1080/14763140903229500</w:t>
        </w:r>
      </w:hyperlink>
      <w:r>
        <w:t xml:space="preserve">.</w:t>
      </w:r>
    </w:p>
    <w:bookmarkEnd w:id="87"/>
    <w:bookmarkStart w:id="89"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88">
        <w:r>
          <w:rPr>
            <w:rStyle w:val="Hyperlink"/>
          </w:rPr>
          <w:t xml:space="preserve">https://doi.org/10.1016/0021-9290(95)00178-6</w:t>
        </w:r>
      </w:hyperlink>
      <w:r>
        <w:t xml:space="preserve">.</w:t>
      </w:r>
    </w:p>
    <w:bookmarkEnd w:id="89"/>
    <w:bookmarkStart w:id="91"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90">
        <w:r>
          <w:rPr>
            <w:rStyle w:val="Hyperlink"/>
          </w:rPr>
          <w:t xml:space="preserve">https://doi.org/10.1109/CVPRW53098.2021.00508</w:t>
        </w:r>
      </w:hyperlink>
      <w:r>
        <w:t xml:space="preserve">.</w:t>
      </w:r>
    </w:p>
    <w:bookmarkEnd w:id="91"/>
    <w:bookmarkStart w:id="93"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92">
        <w:r>
          <w:rPr>
            <w:rStyle w:val="Hyperlink"/>
          </w:rPr>
          <w:t xml:space="preserve">https://doi.org/10.1080/026404102753576062</w:t>
        </w:r>
      </w:hyperlink>
      <w:r>
        <w:t xml:space="preserve">.</w:t>
      </w:r>
    </w:p>
    <w:bookmarkEnd w:id="93"/>
    <w:bookmarkStart w:id="95"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94">
        <w:r>
          <w:rPr>
            <w:rStyle w:val="Hyperlink"/>
          </w:rPr>
          <w:t xml:space="preserve">https://doi.org/10.1177/0363546510395879</w:t>
        </w:r>
      </w:hyperlink>
      <w:r>
        <w:t xml:space="preserve">.</w:t>
      </w:r>
    </w:p>
    <w:bookmarkEnd w:id="95"/>
    <w:bookmarkStart w:id="97"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96">
        <w:r>
          <w:rPr>
            <w:rStyle w:val="Hyperlink"/>
          </w:rPr>
          <w:t xml:space="preserve">https://doi.org/10.48550/arXiv.2107.08430</w:t>
        </w:r>
      </w:hyperlink>
      <w:r>
        <w:t xml:space="preserve">.</w:t>
      </w:r>
    </w:p>
    <w:bookmarkEnd w:id="97"/>
    <w:bookmarkStart w:id="99"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98">
        <w:r>
          <w:rPr>
            <w:rStyle w:val="Hyperlink"/>
          </w:rPr>
          <w:t xml:space="preserve">https://doi.org/10.1371/journal.pone.0253157</w:t>
        </w:r>
      </w:hyperlink>
      <w:r>
        <w:t xml:space="preserve">.</w:t>
      </w:r>
    </w:p>
    <w:bookmarkEnd w:id="99"/>
    <w:bookmarkStart w:id="101" w:name="ref-hopkins2009"/>
    <w:p>
      <w:pPr>
        <w:pStyle w:val="Bibliography"/>
      </w:pPr>
      <w:r>
        <w:t xml:space="preserve">Hopkins, William G., Stephen W. Marshall, Alan M. Batterham, and Juri Hanin. 2009.</w:t>
      </w:r>
      <w:r>
        <w:t xml:space="preserve"> </w:t>
      </w:r>
      <w:r>
        <w:t xml:space="preserve">“Progressive Statistics for Studies in Sports Medicine and Exercise Science.”</w:t>
      </w:r>
      <w:r>
        <w:t xml:space="preserve"> </w:t>
      </w:r>
      <w:r>
        <w:rPr>
          <w:i/>
          <w:iCs/>
        </w:rPr>
        <w:t xml:space="preserve">Medicine &amp; Science in Sports &amp; Exercise</w:t>
      </w:r>
      <w:r>
        <w:t xml:space="preserve"> </w:t>
      </w:r>
      <w:r>
        <w:t xml:space="preserve">41 (1): 3–13.</w:t>
      </w:r>
      <w:r>
        <w:t xml:space="preserve"> </w:t>
      </w:r>
      <w:hyperlink r:id="rId100">
        <w:r>
          <w:rPr>
            <w:rStyle w:val="Hyperlink"/>
          </w:rPr>
          <w:t xml:space="preserve">https://doi.org/10.1249/MSS.0b013e31818cb278</w:t>
        </w:r>
      </w:hyperlink>
      <w:r>
        <w:t xml:space="preserve">.</w:t>
      </w:r>
    </w:p>
    <w:bookmarkEnd w:id="101"/>
    <w:bookmarkStart w:id="103"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02">
        <w:r>
          <w:rPr>
            <w:rStyle w:val="Hyperlink"/>
          </w:rPr>
          <w:t xml:space="preserve">https://doi.org/10.1136/bmj.c2289</w:t>
        </w:r>
      </w:hyperlink>
      <w:r>
        <w:t xml:space="preserve">.</w:t>
      </w:r>
    </w:p>
    <w:bookmarkEnd w:id="103"/>
    <w:bookmarkStart w:id="105"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04">
        <w:r>
          <w:rPr>
            <w:rStyle w:val="Hyperlink"/>
          </w:rPr>
          <w:t xml:space="preserve">https://doi.org/10.1109/TPAMI.2013.248</w:t>
        </w:r>
      </w:hyperlink>
      <w:r>
        <w:t xml:space="preserve">.</w:t>
      </w:r>
    </w:p>
    <w:bookmarkEnd w:id="105"/>
    <w:bookmarkStart w:id="107"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06">
        <w:r>
          <w:rPr>
            <w:rStyle w:val="Hyperlink"/>
          </w:rPr>
          <w:t xml:space="preserve">https://doi.org/10.48550/arXiv.2303.07399</w:t>
        </w:r>
      </w:hyperlink>
      <w:r>
        <w:t xml:space="preserve">.</w:t>
      </w:r>
    </w:p>
    <w:bookmarkEnd w:id="107"/>
    <w:bookmarkStart w:id="109"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08">
        <w:r>
          <w:rPr>
            <w:rStyle w:val="Hyperlink"/>
          </w:rPr>
          <w:t xml:space="preserve">https://doi.org/10.48550/arXiv.2407.08634</w:t>
        </w:r>
      </w:hyperlink>
      <w:r>
        <w:t xml:space="preserve">.</w:t>
      </w:r>
    </w:p>
    <w:bookmarkEnd w:id="109"/>
    <w:bookmarkStart w:id="111"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0">
        <w:r>
          <w:rPr>
            <w:rStyle w:val="Hyperlink"/>
          </w:rPr>
          <w:t xml:space="preserve">https://doi.org/10.1007/978-3-031-72655-2_20</w:t>
        </w:r>
      </w:hyperlink>
      <w:r>
        <w:t xml:space="preserve">.</w:t>
      </w:r>
    </w:p>
    <w:bookmarkEnd w:id="111"/>
    <w:bookmarkStart w:id="113"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12">
        <w:r>
          <w:rPr>
            <w:rStyle w:val="Hyperlink"/>
          </w:rPr>
          <w:t xml:space="preserve">https://doi.org/10.1016/j.jbiomech.2021.110665</w:t>
        </w:r>
      </w:hyperlink>
      <w:r>
        <w:t xml:space="preserve">.</w:t>
      </w:r>
    </w:p>
    <w:bookmarkEnd w:id="113"/>
    <w:bookmarkStart w:id="114"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14"/>
    <w:bookmarkStart w:id="116"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5">
        <w:r>
          <w:rPr>
            <w:rStyle w:val="Hyperlink"/>
          </w:rPr>
          <w:t xml:space="preserve">https://doi.org/10.48550/arXiv.2609.10498</w:t>
        </w:r>
      </w:hyperlink>
      <w:r>
        <w:t xml:space="preserve">.</w:t>
      </w:r>
    </w:p>
    <w:bookmarkEnd w:id="116"/>
    <w:bookmarkStart w:id="118"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17">
        <w:r>
          <w:rPr>
            <w:rStyle w:val="Hyperlink"/>
          </w:rPr>
          <w:t xml:space="preserve">https://doi.org/10.1016/j.jcm.2016.02.012</w:t>
        </w:r>
      </w:hyperlink>
      <w:r>
        <w:t xml:space="preserve">.</w:t>
      </w:r>
    </w:p>
    <w:bookmarkEnd w:id="118"/>
    <w:bookmarkStart w:id="120"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 </w:t>
      </w:r>
      <w:r>
        <w:rPr>
          <w:i/>
          <w:iCs/>
        </w:rPr>
        <w:t xml:space="preserve">Journal of Clinical Epidemiology</w:t>
      </w:r>
      <w:r>
        <w:t xml:space="preserve"> </w:t>
      </w:r>
      <w:r>
        <w:t xml:space="preserve">64 (1): 96–106.</w:t>
      </w:r>
      <w:r>
        <w:t xml:space="preserve"> </w:t>
      </w:r>
      <w:hyperlink r:id="rId119">
        <w:r>
          <w:rPr>
            <w:rStyle w:val="Hyperlink"/>
          </w:rPr>
          <w:t xml:space="preserve">https://doi.org/10.1016/j.jclinepi.2010.03.002</w:t>
        </w:r>
      </w:hyperlink>
      <w:r>
        <w:t xml:space="preserve">.</w:t>
      </w:r>
    </w:p>
    <w:bookmarkEnd w:id="120"/>
    <w:bookmarkStart w:id="122" w:name="ref-lakens2017"/>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121">
        <w:r>
          <w:rPr>
            <w:rStyle w:val="Hyperlink"/>
          </w:rPr>
          <w:t xml:space="preserve">https://doi.org/10.1177/1948550617697177</w:t>
        </w:r>
      </w:hyperlink>
      <w:r>
        <w:t xml:space="preserve">.</w:t>
      </w:r>
    </w:p>
    <w:bookmarkEnd w:id="122"/>
    <w:bookmarkStart w:id="124"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3">
        <w:r>
          <w:rPr>
            <w:rStyle w:val="Hyperlink"/>
          </w:rPr>
          <w:t xml:space="preserve">Https://www.laliga.com/en-GB/news/laliga-ea-sports-becomes-the-first-national-football-competition-to-roll-out-connected-ball-technology-across-all-its-matches</w:t>
        </w:r>
      </w:hyperlink>
      <w:r>
        <w:t xml:space="preserve">.</w:t>
      </w:r>
    </w:p>
    <w:bookmarkEnd w:id="124"/>
    <w:bookmarkStart w:id="126"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25">
        <w:r>
          <w:rPr>
            <w:rStyle w:val="Hyperlink"/>
          </w:rPr>
          <w:t xml:space="preserve">https://doi.org/10.1080/02640414.2010.481305</w:t>
        </w:r>
      </w:hyperlink>
      <w:r>
        <w:t xml:space="preserve">.</w:t>
      </w:r>
    </w:p>
    <w:bookmarkEnd w:id="126"/>
    <w:bookmarkStart w:id="128" w:name="ref-mcginley2009"/>
    <w:p>
      <w:pPr>
        <w:pStyle w:val="Bibliography"/>
      </w:pPr>
      <w:r>
        <w:t xml:space="preserve">McGinley, Jennifer L., Richard Baker, Rory Wolfe, and Meg E. Morris. 2009.</w:t>
      </w:r>
      <w:r>
        <w:t xml:space="preserve"> </w:t>
      </w:r>
      <w:r>
        <w:t xml:space="preserve">“The Reliability of Three-Dimensional Kinematic Gait Measurements: A Systematic Review.”</w:t>
      </w:r>
      <w:r>
        <w:t xml:space="preserve"> </w:t>
      </w:r>
      <w:r>
        <w:rPr>
          <w:i/>
          <w:iCs/>
        </w:rPr>
        <w:t xml:space="preserve">Gait &amp; Posture</w:t>
      </w:r>
      <w:r>
        <w:t xml:space="preserve"> </w:t>
      </w:r>
      <w:r>
        <w:t xml:space="preserve">29 (3): 360–69.</w:t>
      </w:r>
      <w:r>
        <w:t xml:space="preserve"> </w:t>
      </w:r>
      <w:hyperlink r:id="rId127">
        <w:r>
          <w:rPr>
            <w:rStyle w:val="Hyperlink"/>
          </w:rPr>
          <w:t xml:space="preserve">https://doi.org/10.1016/j.gaitpost.2008.09.003</w:t>
        </w:r>
      </w:hyperlink>
      <w:r>
        <w:t xml:space="preserve">.</w:t>
      </w:r>
    </w:p>
    <w:bookmarkEnd w:id="128"/>
    <w:bookmarkStart w:id="130"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29">
        <w:r>
          <w:rPr>
            <w:rStyle w:val="Hyperlink"/>
          </w:rPr>
          <w:t xml:space="preserve">https://doi.org/10.1109/WACV57701.2024.00677</w:t>
        </w:r>
      </w:hyperlink>
      <w:r>
        <w:t xml:space="preserve">.</w:t>
      </w:r>
    </w:p>
    <w:bookmarkEnd w:id="130"/>
    <w:bookmarkStart w:id="132"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1">
        <w:r>
          <w:rPr>
            <w:rStyle w:val="Hyperlink"/>
          </w:rPr>
          <w:t xml:space="preserve">https://doi.org/10.1136/bjsports-2012-091250</w:t>
        </w:r>
      </w:hyperlink>
      <w:r>
        <w:t xml:space="preserve">.</w:t>
      </w:r>
    </w:p>
    <w:bookmarkEnd w:id="132"/>
    <w:bookmarkStart w:id="134"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3">
        <w:r>
          <w:rPr>
            <w:rStyle w:val="Hyperlink"/>
          </w:rPr>
          <w:t xml:space="preserve">https://doi.org/10.1038/s41598-021-00212-x</w:t>
        </w:r>
      </w:hyperlink>
      <w:r>
        <w:t xml:space="preserve">.</w:t>
      </w:r>
    </w:p>
    <w:bookmarkEnd w:id="134"/>
    <w:bookmarkStart w:id="136" w:name="ref-nichols2002"/>
    <w:p>
      <w:pPr>
        <w:pStyle w:val="Bibliography"/>
      </w:pPr>
      <w:r>
        <w:t xml:space="preserve">Nichols, Thomas E., and Andrew P. Holmes. 2002.</w:t>
      </w:r>
      <w:r>
        <w:t xml:space="preserve"> </w:t>
      </w:r>
      <w:r>
        <w:t xml:space="preserve">“Nonparametric Permutation Tests for Functional Neuroimaging: A Primer with Examples.”</w:t>
      </w:r>
      <w:r>
        <w:t xml:space="preserve"> </w:t>
      </w:r>
      <w:r>
        <w:rPr>
          <w:i/>
          <w:iCs/>
        </w:rPr>
        <w:t xml:space="preserve">Human Brain Mapping</w:t>
      </w:r>
      <w:r>
        <w:t xml:space="preserve"> </w:t>
      </w:r>
      <w:r>
        <w:t xml:space="preserve">15 (1): 1–25.</w:t>
      </w:r>
      <w:r>
        <w:t xml:space="preserve"> </w:t>
      </w:r>
      <w:hyperlink r:id="rId135">
        <w:r>
          <w:rPr>
            <w:rStyle w:val="Hyperlink"/>
          </w:rPr>
          <w:t xml:space="preserve">https://doi.org/10.1002/hbm.1058</w:t>
        </w:r>
      </w:hyperlink>
      <w:r>
        <w:t xml:space="preserve">.</w:t>
      </w:r>
    </w:p>
    <w:bookmarkEnd w:id="136"/>
    <w:bookmarkStart w:id="138"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37">
        <w:r>
          <w:rPr>
            <w:rStyle w:val="Hyperlink"/>
          </w:rPr>
          <w:t xml:space="preserve">https://doi.org/10.1109/ICCVW69036.2025.00287</w:t>
        </w:r>
      </w:hyperlink>
      <w:r>
        <w:t xml:space="preserve">.</w:t>
      </w:r>
    </w:p>
    <w:bookmarkEnd w:id="138"/>
    <w:bookmarkStart w:id="140"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39">
        <w:r>
          <w:rPr>
            <w:rStyle w:val="Hyperlink"/>
          </w:rPr>
          <w:t xml:space="preserve">https://doi.org/10.1097/00005768-200212000-00025</w:t>
        </w:r>
      </w:hyperlink>
      <w:r>
        <w:t xml:space="preserve">.</w:t>
      </w:r>
    </w:p>
    <w:bookmarkEnd w:id="140"/>
    <w:bookmarkStart w:id="142"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1">
        <w:r>
          <w:rPr>
            <w:rStyle w:val="Hyperlink"/>
          </w:rPr>
          <w:t xml:space="preserve">https://doi.org/10.3390/ijerph19031179</w:t>
        </w:r>
      </w:hyperlink>
      <w:r>
        <w:t xml:space="preserve">.</w:t>
      </w:r>
    </w:p>
    <w:bookmarkEnd w:id="142"/>
    <w:bookmarkStart w:id="144"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3">
        <w:r>
          <w:rPr>
            <w:rStyle w:val="Hyperlink"/>
          </w:rPr>
          <w:t xml:space="preserve">https://doi.org/10.1080/10255842.2010.527837</w:t>
        </w:r>
      </w:hyperlink>
      <w:r>
        <w:t xml:space="preserve">.</w:t>
      </w:r>
    </w:p>
    <w:bookmarkEnd w:id="144"/>
    <w:bookmarkStart w:id="146" w:name="ref-pataky2015"/>
    <w:p>
      <w:pPr>
        <w:pStyle w:val="Bibliography"/>
      </w:pPr>
      <w:r>
        <w:t xml:space="preserve">Pataky, Todd C., Jos Vanrenterghem, and Mark A. Robinson. 2015.</w:t>
      </w:r>
      <w:r>
        <w:t xml:space="preserve"> </w:t>
      </w:r>
      <w:r>
        <w:t xml:space="preserve">“Zero- Vs. One-Dimensional, Parametric Vs. Non-Parametric, and Confidence Interval Vs. Hypothesis Testing Procedures in One-Dimensional Biomechanical Trajectory Analysis.”</w:t>
      </w:r>
      <w:r>
        <w:t xml:space="preserve"> </w:t>
      </w:r>
      <w:r>
        <w:rPr>
          <w:i/>
          <w:iCs/>
        </w:rPr>
        <w:t xml:space="preserve">Journal of Biomechanics</w:t>
      </w:r>
      <w:r>
        <w:t xml:space="preserve"> </w:t>
      </w:r>
      <w:r>
        <w:t xml:space="preserve">48 (7): 1277–85.</w:t>
      </w:r>
      <w:r>
        <w:t xml:space="preserve"> </w:t>
      </w:r>
      <w:hyperlink r:id="rId145">
        <w:r>
          <w:rPr>
            <w:rStyle w:val="Hyperlink"/>
          </w:rPr>
          <w:t xml:space="preserve">https://doi.org/10.1016/j.jbiomech.2015.02.051</w:t>
        </w:r>
      </w:hyperlink>
      <w:r>
        <w:t xml:space="preserve">.</w:t>
      </w:r>
    </w:p>
    <w:bookmarkEnd w:id="146"/>
    <w:bookmarkStart w:id="148"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47">
        <w:r>
          <w:rPr>
            <w:rStyle w:val="Hyperlink"/>
          </w:rPr>
          <w:t xml:space="preserve">https://doi.org/10.2307/2531021</w:t>
        </w:r>
      </w:hyperlink>
      <w:r>
        <w:t xml:space="preserve">.</w:t>
      </w:r>
    </w:p>
    <w:bookmarkEnd w:id="148"/>
    <w:bookmarkStart w:id="150"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 </w:t>
      </w:r>
      <w:r>
        <w:rPr>
          <w:i/>
          <w:iCs/>
        </w:rPr>
        <w:t xml:space="preserve">Journal of Pharmacokinetics and Biopharmaceutics</w:t>
      </w:r>
      <w:r>
        <w:t xml:space="preserve"> </w:t>
      </w:r>
      <w:r>
        <w:t xml:space="preserve">15 (6): 657–80.</w:t>
      </w:r>
      <w:r>
        <w:t xml:space="preserve"> </w:t>
      </w:r>
      <w:hyperlink r:id="rId149">
        <w:r>
          <w:rPr>
            <w:rStyle w:val="Hyperlink"/>
          </w:rPr>
          <w:t xml:space="preserve">https://doi.org/10.1007/BF01068419</w:t>
        </w:r>
      </w:hyperlink>
      <w:r>
        <w:t xml:space="preserve">.</w:t>
      </w:r>
    </w:p>
    <w:bookmarkEnd w:id="150"/>
    <w:bookmarkStart w:id="152"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51">
        <w:r>
          <w:rPr>
            <w:rStyle w:val="Hyperlink"/>
          </w:rPr>
          <w:t xml:space="preserve">https://doi.org/10.1136/bjsports-2018-099246</w:t>
        </w:r>
      </w:hyperlink>
      <w:r>
        <w:t xml:space="preserve">.</w:t>
      </w:r>
    </w:p>
    <w:bookmarkEnd w:id="152"/>
    <w:bookmarkStart w:id="154"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53">
        <w:r>
          <w:rPr>
            <w:rStyle w:val="Hyperlink"/>
          </w:rPr>
          <w:t xml:space="preserve">https://doi.org/10.1080/14763140508522852</w:t>
        </w:r>
      </w:hyperlink>
      <w:r>
        <w:t xml:space="preserve">.</w:t>
      </w:r>
    </w:p>
    <w:bookmarkEnd w:id="154"/>
    <w:bookmarkStart w:id="156"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5">
        <w:r>
          <w:rPr>
            <w:rStyle w:val="Hyperlink"/>
          </w:rPr>
          <w:t xml:space="preserve">https://doi.org/10.1037/0033-2909.86.2.420</w:t>
        </w:r>
      </w:hyperlink>
      <w:r>
        <w:t xml:space="preserve">.</w:t>
      </w:r>
    </w:p>
    <w:bookmarkEnd w:id="156"/>
    <w:bookmarkStart w:id="158"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57">
        <w:r>
          <w:rPr>
            <w:rStyle w:val="Hyperlink"/>
          </w:rPr>
          <w:t xml:space="preserve">https://doi.org/10.1371/journal.pcbi.1011462</w:t>
        </w:r>
      </w:hyperlink>
      <w:r>
        <w:t xml:space="preserve">.</w:t>
      </w:r>
    </w:p>
    <w:bookmarkEnd w:id="158"/>
    <w:bookmarkStart w:id="160"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59">
        <w:r>
          <w:rPr>
            <w:rStyle w:val="Hyperlink"/>
          </w:rPr>
          <w:t xml:space="preserve">https://doi.org/10.1136/bjsports-2017-097796</w:t>
        </w:r>
      </w:hyperlink>
      <w:r>
        <w:t xml:space="preserve">.</w:t>
      </w:r>
    </w:p>
    <w:bookmarkEnd w:id="160"/>
    <w:bookmarkStart w:id="162"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61">
        <w:r>
          <w:rPr>
            <w:rStyle w:val="Hyperlink"/>
          </w:rPr>
          <w:t xml:space="preserve">https://doi.org/10.1136/bjsm.2009.066944</w:t>
        </w:r>
      </w:hyperlink>
      <w:r>
        <w:t xml:space="preserve">.</w:t>
      </w:r>
    </w:p>
    <w:bookmarkEnd w:id="162"/>
    <w:bookmarkStart w:id="164"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63">
        <w:r>
          <w:rPr>
            <w:rStyle w:val="Hyperlink"/>
          </w:rPr>
          <w:t xml:space="preserve">https://doi.org/10.1109/CVPRW63382.2024.00327</w:t>
        </w:r>
      </w:hyperlink>
      <w:r>
        <w:t xml:space="preserve">.</w:t>
      </w:r>
    </w:p>
    <w:bookmarkEnd w:id="164"/>
    <w:bookmarkStart w:id="166"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65">
        <w:r>
          <w:rPr>
            <w:rStyle w:val="Hyperlink"/>
          </w:rPr>
          <w:t xml:space="preserve">https://doi.org/10.1109/CVPRW67362.2025.00592</w:t>
        </w:r>
      </w:hyperlink>
      <w:r>
        <w:t xml:space="preserve">.</w:t>
      </w:r>
    </w:p>
    <w:bookmarkEnd w:id="166"/>
    <w:bookmarkEnd w:id="167"/>
    <w:bookmarkEnd w:id="168"/>
    <w:bookmarkStart w:id="201" w:name="supplementary-material"/>
    <w:p>
      <w:pPr>
        <w:pStyle w:val="Heading1"/>
      </w:pPr>
      <w:r>
        <w:t xml:space="preserve">Supplementary material</w:t>
      </w:r>
    </w:p>
    <w:p>
      <w:pPr>
        <w:pStyle w:val="FirstParagraph"/>
      </w:pPr>
      <w:r>
        <w:t xml:space="preserve">Supplementary file 1: GRRAS checklist. Supplementary file 2: complete statistical outputs (CSV and JSON). Supplementary figures follow.</w:t>
      </w:r>
    </w:p>
    <w:bookmarkStart w:id="172"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70" name="Picture"/>
            <a:graphic>
              <a:graphicData uri="http://schemas.openxmlformats.org/drawingml/2006/picture">
                <pic:pic>
                  <pic:nvPicPr>
                    <pic:cNvPr descr="../../resultados/paper/fig2_contact.png" id="171" name="Picture"/>
                    <pic:cNvPicPr>
                      <a:picLocks noChangeArrowheads="1" noChangeAspect="1"/>
                    </pic:cNvPicPr>
                  </pic:nvPicPr>
                  <pic:blipFill>
                    <a:blip r:embed="rId169"/>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72"/>
    <w:bookmarkStart w:id="176" w:name="figS:intensity"/>
    <w:p>
      <w:pPr>
        <w:pStyle w:val="CaptionedFigure"/>
      </w:pPr>
      <w:r>
        <w:drawing>
          <wp:inline>
            <wp:extent cx="3122416" cy="2492428"/>
            <wp:effectExtent b="0" l="0" r="0" t="0"/>
            <wp:docPr descr="Figure S2. Lifter error without 2D noise (mean absolute error of the six features, all views and sizes, 25 fps) versus kick intensity (peak kicking-ankle speed). MoVi air kicks and CMU ball kicks." title="" id="174" name="Picture"/>
            <a:graphic>
              <a:graphicData uri="http://schemas.openxmlformats.org/drawingml/2006/picture">
                <pic:pic>
                  <pic:nvPicPr>
                    <pic:cNvPr descr="../../resultados/paper/figS2_intensity.png" id="175" name="Picture"/>
                    <pic:cNvPicPr>
                      <a:picLocks noChangeArrowheads="1" noChangeAspect="1"/>
                    </pic:cNvPicPr>
                  </pic:nvPicPr>
                  <pic:blipFill>
                    <a:blip r:embed="rId173"/>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S2. Lifter error without 2D noise (mean absolute error of the six features, all views and sizes, 25 fps) versus kick intensity (peak kicking-ankle speed). MoVi air kicks and CMU ball kicks.</w:t>
      </w:r>
    </w:p>
    <w:bookmarkEnd w:id="176"/>
    <w:bookmarkStart w:id="180" w:name="figS:sens"/>
    <w:p>
      <w:pPr>
        <w:pStyle w:val="CaptionedFigure"/>
      </w:pPr>
      <w:r>
        <w:drawing>
          <wp:inline>
            <wp:extent cx="5334000" cy="3438896"/>
            <wp:effectExtent b="0" l="0" r="0" t="0"/>
            <wp:docPr descr="Figure S3. Virtual broadcast camera, MoVi kicks (n = 83), 25 fps, broadcast residuals, known contact: mean absolute error of each feature versus player height, by camera view." title="" id="178" name="Picture"/>
            <a:graphic>
              <a:graphicData uri="http://schemas.openxmlformats.org/drawingml/2006/picture">
                <pic:pic>
                  <pic:nvPicPr>
                    <pic:cNvPr descr="../../resultados/paper/fig4_sensitivity.png" id="179" name="Picture"/>
                    <pic:cNvPicPr>
                      <a:picLocks noChangeArrowheads="1" noChangeAspect="1"/>
                    </pic:cNvPicPr>
                  </pic:nvPicPr>
                  <pic:blipFill>
                    <a:blip r:embed="rId177"/>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MoVi kicks (n = 83), 25 fps, broadcast residuals, known contact: mean absolute error of each feature versus player height, by camera view.</w:t>
      </w:r>
    </w:p>
    <w:bookmarkEnd w:id="180"/>
    <w:bookmarkStart w:id="184" w:name="figS:senscmu"/>
    <w:p>
      <w:pPr>
        <w:pStyle w:val="CaptionedFigure"/>
      </w:pPr>
      <w:r>
        <w:drawing>
          <wp:inline>
            <wp:extent cx="5334000" cy="3438896"/>
            <wp:effectExtent b="0" l="0" r="0" t="0"/>
            <wp:docPr descr="Figure S4. Virtual broadcast camera, real ball kicks (CMU, n = 7), 25 fps, broadcast residuals, known contact: mean absolute error of each feature versus player height, by camera view." title="" id="182" name="Picture"/>
            <a:graphic>
              <a:graphicData uri="http://schemas.openxmlformats.org/drawingml/2006/picture">
                <pic:pic>
                  <pic:nvPicPr>
                    <pic:cNvPr descr="../../resultados/paper/figS1_sensitivity_cmu.png" id="183" name="Picture"/>
                    <pic:cNvPicPr>
                      <a:picLocks noChangeArrowheads="1" noChangeAspect="1"/>
                    </pic:cNvPicPr>
                  </pic:nvPicPr>
                  <pic:blipFill>
                    <a:blip r:embed="rId181"/>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S4. Virtual broadcast camera, real ball kicks (CMU, n = 7), 25 fps, broadcast residuals, known contact: mean absolute error of each feature versus player height, by camera view.</w:t>
      </w:r>
    </w:p>
    <w:bookmarkEnd w:id="184"/>
    <w:bookmarkStart w:id="188" w:name="figS:ablation"/>
    <w:p>
      <w:pPr>
        <w:pStyle w:val="CaptionedFigure"/>
      </w:pPr>
      <w:r>
        <w:drawing>
          <wp:inline>
            <wp:extent cx="5334000" cy="2270788"/>
            <wp:effectExtent b="0" l="0" r="0" t="0"/>
            <wp:docPr descr="Figure S5. Effect of (a) the 2D error model, (b) the frame rate and (c) knowing the contact instant, at 80 px." title="" id="186" name="Picture"/>
            <a:graphic>
              <a:graphicData uri="http://schemas.openxmlformats.org/drawingml/2006/picture">
                <pic:pic>
                  <pic:nvPicPr>
                    <pic:cNvPr descr="../../resultados/paper/fig5_ablation.png" id="187" name="Picture"/>
                    <pic:cNvPicPr>
                      <a:picLocks noChangeArrowheads="1" noChangeAspect="1"/>
                    </pic:cNvPicPr>
                  </pic:nvPicPr>
                  <pic:blipFill>
                    <a:blip r:embed="rId185"/>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S5. Effect of (a) the 2D error model, (b) the frame rate and (c) knowing the contact instant, at 80 px.</w:t>
      </w:r>
    </w:p>
    <w:bookmarkEnd w:id="188"/>
    <w:bookmarkStart w:id="192" w:name="figS:bland"/>
    <w:p>
      <w:pPr>
        <w:pStyle w:val="CaptionedFigure"/>
      </w:pPr>
      <w:r>
        <w:drawing>
          <wp:inline>
            <wp:extent cx="5334000" cy="3489939"/>
            <wp:effectExtent b="0" l="0" r="0" t="0"/>
            <wp:docPr descr="Figure S6. Bland–Altman plots of the six kinematic features in the typical broadcast condition (MoVi, n = 83; 80 px, 25 fps, broadcast residuals, known contact; replay views 45°, lateral and 135°). Solid line: bias; dashed lines: 95 % limits of agreement." title="" id="190" name="Picture"/>
            <a:graphic>
              <a:graphicData uri="http://schemas.openxmlformats.org/drawingml/2006/picture">
                <pic:pic>
                  <pic:nvPicPr>
                    <pic:cNvPr descr="../../resultados/paper/figS3_bland.png" id="191" name="Picture"/>
                    <pic:cNvPicPr>
                      <a:picLocks noChangeArrowheads="1" noChangeAspect="1"/>
                    </pic:cNvPicPr>
                  </pic:nvPicPr>
                  <pic:blipFill>
                    <a:blip r:embed="rId189"/>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S6. Bland–Altman plots of the six kinematic features in the typical broadcast condition (MoVi, n = 83; 80 px, 25 fps, broadcast residuals, known contact; replay views 45°, lateral and 135°). Solid line: bias; dashed lines: 95 % limits of agreement.</w:t>
      </w:r>
    </w:p>
    <w:bookmarkEnd w:id="192"/>
    <w:bookmarkStart w:id="196" w:name="figS:icc"/>
    <w:p>
      <w:pPr>
        <w:pStyle w:val="CaptionedFigure"/>
      </w:pPr>
      <w:r>
        <w:drawing>
          <wp:inline>
            <wp:extent cx="4267200" cy="2133600"/>
            <wp:effectExtent b="0" l="0" r="0" t="0"/>
            <wp:docPr descr="Figure S7. Between-player agreement, ICC(2,1), by feature and camera view (MoVi, 80 px, 25 fps, broadcast residuals, known contact)." title="" id="194" name="Picture"/>
            <a:graphic>
              <a:graphicData uri="http://schemas.openxmlformats.org/drawingml/2006/picture">
                <pic:pic>
                  <pic:nvPicPr>
                    <pic:cNvPr descr="../../resultados/paper/fig6_reliability.png" id="195" name="Picture"/>
                    <pic:cNvPicPr>
                      <a:picLocks noChangeArrowheads="1" noChangeAspect="1"/>
                    </pic:cNvPicPr>
                  </pic:nvPicPr>
                  <pic:blipFill>
                    <a:blip r:embed="rId19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S7. Between-player agreement, ICC(2,1), by feature and camera view (MoVi, 80 px, 25 fps, broadcast residuals, known contact).</w:t>
      </w:r>
    </w:p>
    <w:bookmarkEnd w:id="196"/>
    <w:bookmarkStart w:id="200" w:name="figS:finetune"/>
    <w:p>
      <w:pPr>
        <w:pStyle w:val="CaptionedFigure"/>
      </w:pPr>
      <w:r>
        <w:drawing>
          <wp:inline>
            <wp:extent cx="5334000" cy="2452134"/>
            <wp:effectExtent b="0" l="0" r="0" t="0"/>
            <wp:docPr descr="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 title="" id="198" name="Picture"/>
            <a:graphic>
              <a:graphicData uri="http://schemas.openxmlformats.org/drawingml/2006/picture">
                <pic:pic>
                  <pic:nvPicPr>
                    <pic:cNvPr descr="../../resultados/paper/fig10_finetune.png" id="199" name="Picture"/>
                    <pic:cNvPicPr>
                      <a:picLocks noChangeArrowheads="1" noChangeAspect="1"/>
                    </pic:cNvPicPr>
                  </pic:nvPicPr>
                  <pic:blipFill>
                    <a:blip r:embed="rId197"/>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S8. Official versus kick- and broadcast-adapted MotionAGFormer on (a) the virtual camera with unseen MoVi participants and held-out broadcast residuals, (b) the virtual camera with the CMU ball kicks, never used in training, and (c) real video downscaled to 80 px. Mean absolute error; 80 px, known contact.</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7" Target="media/rId197.png" /><Relationship Type="http://schemas.openxmlformats.org/officeDocument/2006/relationships/image" Id="rId12" Target="media/rId12.png" /><Relationship Type="http://schemas.openxmlformats.org/officeDocument/2006/relationships/image" Id="rId169" Target="media/rId169.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181" Target="media/rId181.png" /><Relationship Type="http://schemas.openxmlformats.org/officeDocument/2006/relationships/image" Id="rId173" Target="media/rId173.png" /><Relationship Type="http://schemas.openxmlformats.org/officeDocument/2006/relationships/image" Id="rId189" Target="media/rId189.png" /><Relationship Type="http://schemas.openxmlformats.org/officeDocument/2006/relationships/hyperlink" Id="rId84" Target="http://mocap.cs.cmu.edu" TargetMode="External" /><Relationship Type="http://schemas.openxmlformats.org/officeDocument/2006/relationships/hyperlink" Id="rId135" Target="https://doi.org/10.1002/hbm.1058" TargetMode="External" /><Relationship Type="http://schemas.openxmlformats.org/officeDocument/2006/relationships/hyperlink" Id="rId110" Target="https://doi.org/10.1007/978-3-031-72655-2_20" TargetMode="External" /><Relationship Type="http://schemas.openxmlformats.org/officeDocument/2006/relationships/hyperlink" Id="rId149" Target="https://doi.org/10.1007/BF01068419" TargetMode="External" /><Relationship Type="http://schemas.openxmlformats.org/officeDocument/2006/relationships/hyperlink" Id="rId88" Target="https://doi.org/10.1016/0021-9290(95)00178-6" TargetMode="External" /><Relationship Type="http://schemas.openxmlformats.org/officeDocument/2006/relationships/hyperlink" Id="rId82" Target="https://doi.org/10.1016/S0140-6736(86)90837-8" TargetMode="External" /><Relationship Type="http://schemas.openxmlformats.org/officeDocument/2006/relationships/hyperlink" Id="rId127" Target="https://doi.org/10.1016/j.gaitpost.2008.09.003" TargetMode="External" /><Relationship Type="http://schemas.openxmlformats.org/officeDocument/2006/relationships/hyperlink" Id="rId145" Target="https://doi.org/10.1016/j.jbiomech.2015.02.051" TargetMode="External" /><Relationship Type="http://schemas.openxmlformats.org/officeDocument/2006/relationships/hyperlink" Id="rId112" Target="https://doi.org/10.1016/j.jbiomech.2021.110665" TargetMode="External" /><Relationship Type="http://schemas.openxmlformats.org/officeDocument/2006/relationships/hyperlink" Id="rId119" Target="https://doi.org/10.1016/j.jclinepi.2010.03.002" TargetMode="External" /><Relationship Type="http://schemas.openxmlformats.org/officeDocument/2006/relationships/hyperlink" Id="rId117" Target="https://doi.org/10.1016/j.jcm.2016.02.012" TargetMode="External" /><Relationship Type="http://schemas.openxmlformats.org/officeDocument/2006/relationships/hyperlink" Id="rId155" Target="https://doi.org/10.1037/0033-2909.86.2.420" TargetMode="External" /><Relationship Type="http://schemas.openxmlformats.org/officeDocument/2006/relationships/hyperlink" Id="rId133" Target="https://doi.org/10.1038/s41598-021-00212-x" TargetMode="External" /><Relationship Type="http://schemas.openxmlformats.org/officeDocument/2006/relationships/hyperlink" Id="rId92" Target="https://doi.org/10.1080/026404102753576062" TargetMode="External" /><Relationship Type="http://schemas.openxmlformats.org/officeDocument/2006/relationships/hyperlink" Id="rId78" Target="https://doi.org/10.1080/02640410500386050" TargetMode="External" /><Relationship Type="http://schemas.openxmlformats.org/officeDocument/2006/relationships/hyperlink" Id="rId125" Target="https://doi.org/10.1080/02640414.2010.481305" TargetMode="External" /><Relationship Type="http://schemas.openxmlformats.org/officeDocument/2006/relationships/hyperlink" Id="rId143" Target="https://doi.org/10.1080/10255842.2010.527837" TargetMode="External" /><Relationship Type="http://schemas.openxmlformats.org/officeDocument/2006/relationships/hyperlink" Id="rId153" Target="https://doi.org/10.1080/14763140508522852" TargetMode="External" /><Relationship Type="http://schemas.openxmlformats.org/officeDocument/2006/relationships/hyperlink" Id="rId86" Target="https://doi.org/10.1080/14763140903229500" TargetMode="External" /><Relationship Type="http://schemas.openxmlformats.org/officeDocument/2006/relationships/hyperlink" Id="rId139" Target="https://doi.org/10.1097/00005768-200212000-00025" TargetMode="External" /><Relationship Type="http://schemas.openxmlformats.org/officeDocument/2006/relationships/hyperlink" Id="rId90" Target="https://doi.org/10.1109/CVPRW53098.2021.00508" TargetMode="External" /><Relationship Type="http://schemas.openxmlformats.org/officeDocument/2006/relationships/hyperlink" Id="rId80" Target="https://doi.org/10.1109/CVPRW59228.2023.00539" TargetMode="External" /><Relationship Type="http://schemas.openxmlformats.org/officeDocument/2006/relationships/hyperlink" Id="rId163" Target="https://doi.org/10.1109/CVPRW63382.2024.00327" TargetMode="External" /><Relationship Type="http://schemas.openxmlformats.org/officeDocument/2006/relationships/hyperlink" Id="rId165" Target="https://doi.org/10.1109/CVPRW67362.2025.00592" TargetMode="External" /><Relationship Type="http://schemas.openxmlformats.org/officeDocument/2006/relationships/hyperlink" Id="rId137" Target="https://doi.org/10.1109/ICCVW69036.2025.00287" TargetMode="External" /><Relationship Type="http://schemas.openxmlformats.org/officeDocument/2006/relationships/hyperlink" Id="rId104" Target="https://doi.org/10.1109/TPAMI.2013.248" TargetMode="External" /><Relationship Type="http://schemas.openxmlformats.org/officeDocument/2006/relationships/hyperlink" Id="rId129" Target="https://doi.org/10.1109/WACV57701.2024.00677" TargetMode="External" /><Relationship Type="http://schemas.openxmlformats.org/officeDocument/2006/relationships/hyperlink" Id="rId161" Target="https://doi.org/10.1136/bjsm.2009.066944" TargetMode="External" /><Relationship Type="http://schemas.openxmlformats.org/officeDocument/2006/relationships/hyperlink" Id="rId131" Target="https://doi.org/10.1136/bjsports-2012-091250" TargetMode="External" /><Relationship Type="http://schemas.openxmlformats.org/officeDocument/2006/relationships/hyperlink" Id="rId159" Target="https://doi.org/10.1136/bjsports-2017-097796" TargetMode="External" /><Relationship Type="http://schemas.openxmlformats.org/officeDocument/2006/relationships/hyperlink" Id="rId151" Target="https://doi.org/10.1136/bjsports-2018-099246" TargetMode="External" /><Relationship Type="http://schemas.openxmlformats.org/officeDocument/2006/relationships/hyperlink" Id="rId102" Target="https://doi.org/10.1136/bmj.c2289" TargetMode="External" /><Relationship Type="http://schemas.openxmlformats.org/officeDocument/2006/relationships/hyperlink" Id="rId94" Target="https://doi.org/10.1177/0363546510395879" TargetMode="External" /><Relationship Type="http://schemas.openxmlformats.org/officeDocument/2006/relationships/hyperlink" Id="rId121" Target="https://doi.org/10.1177/1948550617697177" TargetMode="External" /><Relationship Type="http://schemas.openxmlformats.org/officeDocument/2006/relationships/hyperlink" Id="rId100" Target="https://doi.org/10.1249/MSS.0b013e31818cb278" TargetMode="External" /><Relationship Type="http://schemas.openxmlformats.org/officeDocument/2006/relationships/hyperlink" Id="rId157" Target="https://doi.org/10.1371/journal.pcbi.1011462" TargetMode="External" /><Relationship Type="http://schemas.openxmlformats.org/officeDocument/2006/relationships/hyperlink" Id="rId98" Target="https://doi.org/10.1371/journal.pone.0253157" TargetMode="External" /><Relationship Type="http://schemas.openxmlformats.org/officeDocument/2006/relationships/hyperlink" Id="rId147" Target="https://doi.org/10.2307/2531021" TargetMode="External" /><Relationship Type="http://schemas.openxmlformats.org/officeDocument/2006/relationships/hyperlink" Id="rId141" Target="https://doi.org/10.3390/ijerph19031179" TargetMode="External" /><Relationship Type="http://schemas.openxmlformats.org/officeDocument/2006/relationships/hyperlink" Id="rId96" Target="https://doi.org/10.48550/arXiv.2107.08430" TargetMode="External" /><Relationship Type="http://schemas.openxmlformats.org/officeDocument/2006/relationships/hyperlink" Id="rId106" Target="https://doi.org/10.48550/arXiv.2303.07399" TargetMode="External" /><Relationship Type="http://schemas.openxmlformats.org/officeDocument/2006/relationships/hyperlink" Id="rId108" Target="https://doi.org/10.48550/arXiv.2407.08634" TargetMode="External" /><Relationship Type="http://schemas.openxmlformats.org/officeDocument/2006/relationships/hyperlink" Id="rId115"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3"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4" Target="http://mocap.cs.cmu.edu" TargetMode="External" /><Relationship Type="http://schemas.openxmlformats.org/officeDocument/2006/relationships/hyperlink" Id="rId135" Target="https://doi.org/10.1002/hbm.1058" TargetMode="External" /><Relationship Type="http://schemas.openxmlformats.org/officeDocument/2006/relationships/hyperlink" Id="rId110" Target="https://doi.org/10.1007/978-3-031-72655-2_20" TargetMode="External" /><Relationship Type="http://schemas.openxmlformats.org/officeDocument/2006/relationships/hyperlink" Id="rId149" Target="https://doi.org/10.1007/BF01068419" TargetMode="External" /><Relationship Type="http://schemas.openxmlformats.org/officeDocument/2006/relationships/hyperlink" Id="rId88" Target="https://doi.org/10.1016/0021-9290(95)00178-6" TargetMode="External" /><Relationship Type="http://schemas.openxmlformats.org/officeDocument/2006/relationships/hyperlink" Id="rId82" Target="https://doi.org/10.1016/S0140-6736(86)90837-8" TargetMode="External" /><Relationship Type="http://schemas.openxmlformats.org/officeDocument/2006/relationships/hyperlink" Id="rId127" Target="https://doi.org/10.1016/j.gaitpost.2008.09.003" TargetMode="External" /><Relationship Type="http://schemas.openxmlformats.org/officeDocument/2006/relationships/hyperlink" Id="rId145" Target="https://doi.org/10.1016/j.jbiomech.2015.02.051" TargetMode="External" /><Relationship Type="http://schemas.openxmlformats.org/officeDocument/2006/relationships/hyperlink" Id="rId112" Target="https://doi.org/10.1016/j.jbiomech.2021.110665" TargetMode="External" /><Relationship Type="http://schemas.openxmlformats.org/officeDocument/2006/relationships/hyperlink" Id="rId119" Target="https://doi.org/10.1016/j.jclinepi.2010.03.002" TargetMode="External" /><Relationship Type="http://schemas.openxmlformats.org/officeDocument/2006/relationships/hyperlink" Id="rId117" Target="https://doi.org/10.1016/j.jcm.2016.02.012" TargetMode="External" /><Relationship Type="http://schemas.openxmlformats.org/officeDocument/2006/relationships/hyperlink" Id="rId155" Target="https://doi.org/10.1037/0033-2909.86.2.420" TargetMode="External" /><Relationship Type="http://schemas.openxmlformats.org/officeDocument/2006/relationships/hyperlink" Id="rId133" Target="https://doi.org/10.1038/s41598-021-00212-x" TargetMode="External" /><Relationship Type="http://schemas.openxmlformats.org/officeDocument/2006/relationships/hyperlink" Id="rId92" Target="https://doi.org/10.1080/026404102753576062" TargetMode="External" /><Relationship Type="http://schemas.openxmlformats.org/officeDocument/2006/relationships/hyperlink" Id="rId78" Target="https://doi.org/10.1080/02640410500386050" TargetMode="External" /><Relationship Type="http://schemas.openxmlformats.org/officeDocument/2006/relationships/hyperlink" Id="rId125" Target="https://doi.org/10.1080/02640414.2010.481305" TargetMode="External" /><Relationship Type="http://schemas.openxmlformats.org/officeDocument/2006/relationships/hyperlink" Id="rId143" Target="https://doi.org/10.1080/10255842.2010.527837" TargetMode="External" /><Relationship Type="http://schemas.openxmlformats.org/officeDocument/2006/relationships/hyperlink" Id="rId153" Target="https://doi.org/10.1080/14763140508522852" TargetMode="External" /><Relationship Type="http://schemas.openxmlformats.org/officeDocument/2006/relationships/hyperlink" Id="rId86" Target="https://doi.org/10.1080/14763140903229500" TargetMode="External" /><Relationship Type="http://schemas.openxmlformats.org/officeDocument/2006/relationships/hyperlink" Id="rId139" Target="https://doi.org/10.1097/00005768-200212000-00025" TargetMode="External" /><Relationship Type="http://schemas.openxmlformats.org/officeDocument/2006/relationships/hyperlink" Id="rId90" Target="https://doi.org/10.1109/CVPRW53098.2021.00508" TargetMode="External" /><Relationship Type="http://schemas.openxmlformats.org/officeDocument/2006/relationships/hyperlink" Id="rId80" Target="https://doi.org/10.1109/CVPRW59228.2023.00539" TargetMode="External" /><Relationship Type="http://schemas.openxmlformats.org/officeDocument/2006/relationships/hyperlink" Id="rId163" Target="https://doi.org/10.1109/CVPRW63382.2024.00327" TargetMode="External" /><Relationship Type="http://schemas.openxmlformats.org/officeDocument/2006/relationships/hyperlink" Id="rId165" Target="https://doi.org/10.1109/CVPRW67362.2025.00592" TargetMode="External" /><Relationship Type="http://schemas.openxmlformats.org/officeDocument/2006/relationships/hyperlink" Id="rId137" Target="https://doi.org/10.1109/ICCVW69036.2025.00287" TargetMode="External" /><Relationship Type="http://schemas.openxmlformats.org/officeDocument/2006/relationships/hyperlink" Id="rId104" Target="https://doi.org/10.1109/TPAMI.2013.248" TargetMode="External" /><Relationship Type="http://schemas.openxmlformats.org/officeDocument/2006/relationships/hyperlink" Id="rId129" Target="https://doi.org/10.1109/WACV57701.2024.00677" TargetMode="External" /><Relationship Type="http://schemas.openxmlformats.org/officeDocument/2006/relationships/hyperlink" Id="rId161" Target="https://doi.org/10.1136/bjsm.2009.066944" TargetMode="External" /><Relationship Type="http://schemas.openxmlformats.org/officeDocument/2006/relationships/hyperlink" Id="rId131" Target="https://doi.org/10.1136/bjsports-2012-091250" TargetMode="External" /><Relationship Type="http://schemas.openxmlformats.org/officeDocument/2006/relationships/hyperlink" Id="rId159" Target="https://doi.org/10.1136/bjsports-2017-097796" TargetMode="External" /><Relationship Type="http://schemas.openxmlformats.org/officeDocument/2006/relationships/hyperlink" Id="rId151" Target="https://doi.org/10.1136/bjsports-2018-099246" TargetMode="External" /><Relationship Type="http://schemas.openxmlformats.org/officeDocument/2006/relationships/hyperlink" Id="rId102" Target="https://doi.org/10.1136/bmj.c2289" TargetMode="External" /><Relationship Type="http://schemas.openxmlformats.org/officeDocument/2006/relationships/hyperlink" Id="rId94" Target="https://doi.org/10.1177/0363546510395879" TargetMode="External" /><Relationship Type="http://schemas.openxmlformats.org/officeDocument/2006/relationships/hyperlink" Id="rId121" Target="https://doi.org/10.1177/1948550617697177" TargetMode="External" /><Relationship Type="http://schemas.openxmlformats.org/officeDocument/2006/relationships/hyperlink" Id="rId100" Target="https://doi.org/10.1249/MSS.0b013e31818cb278" TargetMode="External" /><Relationship Type="http://schemas.openxmlformats.org/officeDocument/2006/relationships/hyperlink" Id="rId157" Target="https://doi.org/10.1371/journal.pcbi.1011462" TargetMode="External" /><Relationship Type="http://schemas.openxmlformats.org/officeDocument/2006/relationships/hyperlink" Id="rId98" Target="https://doi.org/10.1371/journal.pone.0253157" TargetMode="External" /><Relationship Type="http://schemas.openxmlformats.org/officeDocument/2006/relationships/hyperlink" Id="rId147" Target="https://doi.org/10.2307/2531021" TargetMode="External" /><Relationship Type="http://schemas.openxmlformats.org/officeDocument/2006/relationships/hyperlink" Id="rId141" Target="https://doi.org/10.3390/ijerph19031179" TargetMode="External" /><Relationship Type="http://schemas.openxmlformats.org/officeDocument/2006/relationships/hyperlink" Id="rId96" Target="https://doi.org/10.48550/arXiv.2107.08430" TargetMode="External" /><Relationship Type="http://schemas.openxmlformats.org/officeDocument/2006/relationships/hyperlink" Id="rId106" Target="https://doi.org/10.48550/arXiv.2303.07399" TargetMode="External" /><Relationship Type="http://schemas.openxmlformats.org/officeDocument/2006/relationships/hyperlink" Id="rId108" Target="https://doi.org/10.48550/arXiv.2407.08634" TargetMode="External" /><Relationship Type="http://schemas.openxmlformats.org/officeDocument/2006/relationships/hyperlink" Id="rId115"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3"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2026-10-17T12:19:13Z</dcterms:created>
  <dcterms:modified xsi:type="dcterms:W3CDTF">2026-10-17T12:19:13Z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