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60.png" ContentType="image/png"/>
  <Override PartName="/word/media/rId12.png" ContentType="image/png"/>
  <Override PartName="/word/media/rId176.png" ContentType="image/png"/>
  <Override PartName="/word/media/rId18.png" ContentType="image/png"/>
  <Override PartName="/word/media/rId30.png" ContentType="image/png"/>
  <Override PartName="/word/media/rId35.png" ContentType="image/png"/>
  <Override PartName="/word/media/rId184.png" ContentType="image/png"/>
  <Override PartName="/word/media/rId192.png" ContentType="image/png"/>
  <Override PartName="/word/media/rId200.png" ContentType="image/png"/>
  <Override PartName="/word/media/rId43.png" ContentType="image/png"/>
  <Override PartName="/word/media/rId48.png" ContentType="image/png"/>
  <Override PartName="/word/media/rId53.png" ContentType="image/png"/>
  <Override PartName="/word/media/rId212.png" ContentType="image/png"/>
  <Override PartName="/word/media/rId188.png" ContentType="image/png"/>
  <Override PartName="/word/media/rId180.png" ContentType="image/png"/>
  <Override PartName="/word/media/rId196.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4,349.</w:t>
      </w:r>
    </w:p>
    <w:bookmarkStart w:id="10" w:name="abstract"/>
    <w:p>
      <w:pPr>
        <w:pStyle w:val="Heading1"/>
      </w:pPr>
      <w:r>
        <w:t xml:space="preserve">Abstract</w:t>
      </w:r>
    </w:p>
    <w:p>
      <w:pPr>
        <w:pStyle w:val="FirstParagraph"/>
      </w:pPr>
      <w:r>
        <w:t xml:space="preserve">Professional football now measures the ball,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(80 px, 25 fps) and the published lifter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Smartphone recordings of real kicks reproduced these patterns. Single-camera broadcast video does not yet support individual kicking biomechanics or load-based injury scores; replay fusion and ball-contact timing allow limited ranking uses, pending validation on football-specific data.</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complemented by a field example (Section 2.6),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expressed as z-scores relative to the MoVi laboratory distribution.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above the minimum of 30 heterogeneous samples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5"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0.11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0.61</w:t>
            </w:r>
          </w:p>
        </w:tc>
        <w:tc>
          <w:tcPr/>
          <w:p>
            <w:pPr>
              <w:pStyle w:val="Compact"/>
              <w:jc w:val="right"/>
            </w:pPr>
            <w:r>
              <w:t xml:space="preserve">0.16 (0.05–0.30)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with usable video × 2 cameras) feature errors grew only moderately from native resolution to 50 px (Table 3, Figure 5a). Two features carried large size-independent biases — kicking-hip peak extension (+22 to +25°)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rPr>
          <w:i/>
          <w:iCs/>
        </w:rPr>
        <w:t xml:space="preserve">Replay fusion and bias correction.</w:t>
      </w:r>
      <w:r>
        <w:t xml:space="preserve"> </w:t>
      </w: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rPr>
          <w:i/>
          <w:iCs/>
        </w:rPr>
        <w:t xml:space="preserve">Adapted lifter.</w:t>
      </w:r>
      <w:r>
        <w:t xml:space="preserve"> </w:t>
      </w: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(0.749, 0.61–0.85), and both trunk leans agreed with laboratory values within 5°. With the adapted lifter a single simulated camera sufficed for kicking-knee peak flexion and trunk lateral lean to rank players, and on real video at 80 px kicking-hip range of motion became fit for ranking (ICC 0.76, 0.68–0.83); with the official lifter, only trunk lateral lean met a criterion on real video (comparison with norms; MAE 3.8°). No variable, in any condition, could monitor an individual player (random errors 2.7 to 16.5 times the smallest worthwhile change), and no joint load met any criterion.</w:t>
      </w:r>
    </w:p>
    <w:bookmarkStart w:id="58" w:name="tbl:accept"/>
    <w:p>
      <w:pPr>
        <w:pStyle w:val="TableCaption"/>
      </w:pPr>
      <w:r>
        <w:t xml:space="preserve">Table 4. Fitness for use against literature-based criteria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Fitness for use against literature-based criteria (MoVi; 80 px, 25 fps, known contact). Each cell gives the uses met and, in brackets, MAE (° or N·m/kg) and ICC(2,1); “—”: no use met. Norms: comparison with laboratory norms (angles: MAE ≤ 5° and bias equivalent to zero within ±5°, TOST); ranking: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3"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1" name="Picture"/>
            <a:graphic>
              <a:graphicData uri="http://schemas.openxmlformats.org/drawingml/2006/picture">
                <pic:pic>
                  <pic:nvPicPr>
                    <pic:cNvPr descr="../../resultados/paper/fig11_field.png" id="62" name="Picture"/>
                    <pic:cNvPicPr>
                      <a:picLocks noChangeArrowheads="1" noChangeAspect="1"/>
                    </pic:cNvPicPr>
                  </pic:nvPicPr>
                  <pic:blipFill>
                    <a:blip r:embed="rId60"/>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3"/>
    <w:bookmarkEnd w:id="64"/>
    <w:bookmarkEnd w:id="65"/>
    <w:bookmarkStart w:id="72" w:name="discussion"/>
    <w:p>
      <w:pPr>
        <w:pStyle w:val="Heading1"/>
      </w:pPr>
      <w:r>
        <w:t xml:space="preserve">4. Discussion</w:t>
      </w:r>
    </w:p>
    <w:bookmarkStart w:id="66"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(random errors at least 2.7 times the smallest worthwhile change). Finally, Gaussian noise of the right magnitude over-stated errors by up to 1.8 times, so simulation studies of video biomechanics should use real residual sequences or, better, check themselves against real images, as our digital twin did. The field example reproduced these patterns on genuine ball kicks filmed with a phone: kick intensity was visible in ankle speed and posture from side and rear-diagonal views but not from the front, and the inverse-dynamics loads were implausible.</w:t>
      </w:r>
    </w:p>
    <w:bookmarkEnd w:id="66"/>
    <w:bookmarkStart w:id="67"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 and a lifter adapted to kicking under broadcast noise, which improved unseen air kicks in simulation and on real images, degraded the ball kicks.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7"/>
    <w:bookmarkStart w:id="68"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8"/>
    <w:bookmarkStart w:id="69"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9"/>
    <w:bookmarkStart w:id="70"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The field example involves one recreational player and no reference, and its player size (about 200 px) is closer to a broadcast close-up than to a wide shot. We evaluated one detector and one lifter, which is why the benchmark is released.</w:t>
      </w:r>
    </w:p>
    <w:bookmarkEnd w:id="70"/>
    <w:bookmarkStart w:id="71" w:name="conclusions"/>
    <w:p>
      <w:pPr>
        <w:pStyle w:val="Heading2"/>
      </w:pPr>
      <w:r>
        <w:t xml:space="preserve">4.6 Conclusions</w:t>
      </w:r>
    </w:p>
    <w:p>
      <w:pPr>
        <w:pStyle w:val="FirstParagraph"/>
      </w:pPr>
      <w:r>
        <w:t xml:space="preserve">Broadcast detection error, about 10 % of a typical shooter’s height, is the bottleneck. With a published general-purpose lifter, no kicking variable measured from a single broadcast camera is fit for comparison with laboratory norms, ranking players or monitoring individuals; fusing replays, adapting the lifter and anchoring kicks to the ball’s contact time make a few variables usable for ranking or comparison with norms, but none for monitoring an individual. A swing-leg joint-load index is valid in the laboratory but not measurable from broadcast today, and validating it as an injury predictor would require football-specific data to raise its reliability first.</w:t>
      </w:r>
    </w:p>
    <w:bookmarkEnd w:id="71"/>
    <w:bookmarkEnd w:id="72"/>
    <w:bookmarkStart w:id="73"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The author thanks the BioMotion Lab (MoVi), the authors of 3DSP/AutoSoccerPose and SoccerNet, OpenMMLab (RTMW, YOLOX) and the authors of MotionAGFormer for releasing their data and models.</w:t>
      </w:r>
    </w:p>
    <w:bookmarkEnd w:id="73"/>
    <w:bookmarkStart w:id="74"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4"/>
    <w:bookmarkStart w:id="75" w:name="funding"/>
    <w:p>
      <w:pPr>
        <w:pStyle w:val="Heading1"/>
      </w:pPr>
      <w:r>
        <w:t xml:space="preserve">Funding</w:t>
      </w:r>
    </w:p>
    <w:p>
      <w:pPr>
        <w:pStyle w:val="FirstParagraph"/>
      </w:pPr>
      <w:r>
        <w:t xml:space="preserve">No funding was obtained for this work.</w:t>
      </w:r>
    </w:p>
    <w:bookmarkEnd w:id="75"/>
    <w:bookmarkStart w:id="76"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6"/>
    <w:bookmarkStart w:id="77" w:name="declaration-of-generative-ai-use"/>
    <w:p>
      <w:pPr>
        <w:pStyle w:val="Heading1"/>
      </w:pPr>
      <w:r>
        <w:t xml:space="preserve">Declaration of generative AI use</w:t>
      </w:r>
    </w:p>
    <w:p>
      <w:pPr>
        <w:pStyle w:val="FirstParagraph"/>
      </w:pPr>
      <w:r>
        <w:t xml:space="preserve">Generative AI (Claude, Anthropic, used through Claude Code) assisted extensively with the development of the analysis code, the execution and documentation of the analyses, the production of the figures, and the drafting, editing and Spanish translation of the manuscript. The author reviewed all code, outputs and text, verified the analyses and takes full responsibility for the content.</w:t>
      </w:r>
    </w:p>
    <w:bookmarkEnd w:id="77"/>
    <w:bookmarkStart w:id="78"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78"/>
    <w:bookmarkStart w:id="79"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9"/>
    <w:bookmarkStart w:id="80"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80"/>
    <w:bookmarkStart w:id="81"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1"/>
    <w:bookmarkStart w:id="175" w:name="references"/>
    <w:p>
      <w:pPr>
        <w:pStyle w:val="Heading1"/>
      </w:pPr>
      <w:r>
        <w:t xml:space="preserve">References</w:t>
      </w:r>
    </w:p>
    <w:bookmarkStart w:id="174" w:name="refs"/>
    <w:bookmarkStart w:id="83"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9"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r>
        <w:t xml:space="preserve"> </w:t>
      </w:r>
      <w:hyperlink r:id="rId118">
        <w:r>
          <w:rPr>
            <w:rStyle w:val="Hyperlink"/>
          </w:rPr>
          <w:t xml:space="preserve">https://pmc.ncbi.nlm.nih.gov/articles/PMC3786235</w:t>
        </w:r>
      </w:hyperlink>
      <w:r>
        <w:t xml:space="preserve">.</w:t>
      </w:r>
    </w:p>
    <w:bookmarkEnd w:id="119"/>
    <w:bookmarkStart w:id="121"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0">
        <w:r>
          <w:rPr>
            <w:rStyle w:val="Hyperlink"/>
          </w:rPr>
          <w:t xml:space="preserve">https://doi.org/10.48550/arXiv.2609.10498</w:t>
        </w:r>
      </w:hyperlink>
      <w:r>
        <w:t xml:space="preserve">.</w:t>
      </w:r>
    </w:p>
    <w:bookmarkEnd w:id="121"/>
    <w:bookmarkStart w:id="123"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2">
        <w:r>
          <w:rPr>
            <w:rStyle w:val="Hyperlink"/>
          </w:rPr>
          <w:t xml:space="preserve">https://doi.org/10.1016/j.jcm.2016.02.012</w:t>
        </w:r>
      </w:hyperlink>
      <w:r>
        <w:t xml:space="preserve">.</w:t>
      </w:r>
    </w:p>
    <w:bookmarkEnd w:id="123"/>
    <w:bookmarkStart w:id="125"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4">
        <w:r>
          <w:rPr>
            <w:rStyle w:val="Hyperlink"/>
          </w:rPr>
          <w:t xml:space="preserve">https://doi.org/10.1016/j.jclinepi.2010.03.002</w:t>
        </w:r>
      </w:hyperlink>
      <w:r>
        <w:t xml:space="preserve">.</w:t>
      </w:r>
    </w:p>
    <w:bookmarkEnd w:id="125"/>
    <w:bookmarkStart w:id="127"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6">
        <w:r>
          <w:rPr>
            <w:rStyle w:val="Hyperlink"/>
          </w:rPr>
          <w:t xml:space="preserve">https://doi.org/10.1177/1948550617697177</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2">
        <w:r>
          <w:rPr>
            <w:rStyle w:val="Hyperlink"/>
          </w:rPr>
          <w:t xml:space="preserve">https://doi.org/10.1016/j.gaitpost.2008.09.003</w:t>
        </w:r>
      </w:hyperlink>
      <w:r>
        <w:t xml:space="preserve">.</w:t>
      </w:r>
    </w:p>
    <w:bookmarkEnd w:id="133"/>
    <w:bookmarkStart w:id="135"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4">
        <w:r>
          <w:rPr>
            <w:rStyle w:val="Hyperlink"/>
          </w:rPr>
          <w:t xml:space="preserve">https://doi.org/10.1109/WACV57701.2024.00677</w:t>
        </w:r>
      </w:hyperlink>
      <w:r>
        <w:t xml:space="preserve">.</w:t>
      </w:r>
    </w:p>
    <w:bookmarkEnd w:id="135"/>
    <w:bookmarkStart w:id="137"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6">
        <w:r>
          <w:rPr>
            <w:rStyle w:val="Hyperlink"/>
          </w:rPr>
          <w:t xml:space="preserve">https://doi.org/10.1136/bjsports-2012-091250</w:t>
        </w:r>
      </w:hyperlink>
      <w:r>
        <w:t xml:space="preserve">.</w:t>
      </w:r>
    </w:p>
    <w:bookmarkEnd w:id="137"/>
    <w:bookmarkStart w:id="139"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8">
        <w:r>
          <w:rPr>
            <w:rStyle w:val="Hyperlink"/>
          </w:rPr>
          <w:t xml:space="preserve">https://doi.org/10.1038/s41598-021-00212-x</w:t>
        </w:r>
      </w:hyperlink>
      <w:r>
        <w:t xml:space="preserve">.</w:t>
      </w:r>
    </w:p>
    <w:bookmarkEnd w:id="139"/>
    <w:bookmarkStart w:id="141"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40">
        <w:r>
          <w:rPr>
            <w:rStyle w:val="Hyperlink"/>
          </w:rPr>
          <w:t xml:space="preserve">https://doi.org/10.1002/hbm.1058</w:t>
        </w:r>
      </w:hyperlink>
      <w:r>
        <w:t xml:space="preserve">.</w:t>
      </w:r>
    </w:p>
    <w:bookmarkEnd w:id="141"/>
    <w:bookmarkStart w:id="143"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2">
        <w:r>
          <w:rPr>
            <w:rStyle w:val="Hyperlink"/>
          </w:rPr>
          <w:t xml:space="preserve">https://doi.org/10.1109/ICCVW69036.2025.00287</w:t>
        </w:r>
      </w:hyperlink>
      <w:r>
        <w:t xml:space="preserve">.</w:t>
      </w:r>
    </w:p>
    <w:bookmarkEnd w:id="143"/>
    <w:bookmarkStart w:id="145"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4">
        <w:r>
          <w:rPr>
            <w:rStyle w:val="Hyperlink"/>
          </w:rPr>
          <w:t xml:space="preserve">https://doi.org/10.1097/00005768-200212000-00025</w:t>
        </w:r>
      </w:hyperlink>
      <w:r>
        <w:t xml:space="preserve">.</w:t>
      </w:r>
    </w:p>
    <w:bookmarkEnd w:id="145"/>
    <w:bookmarkStart w:id="147"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6">
        <w:r>
          <w:rPr>
            <w:rStyle w:val="Hyperlink"/>
          </w:rPr>
          <w:t xml:space="preserve">https://doi.org/10.3390/ijerph19031179</w:t>
        </w:r>
      </w:hyperlink>
      <w:r>
        <w:t xml:space="preserve">.</w:t>
      </w:r>
    </w:p>
    <w:bookmarkEnd w:id="147"/>
    <w:bookmarkStart w:id="149"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8">
        <w:r>
          <w:rPr>
            <w:rStyle w:val="Hyperlink"/>
          </w:rPr>
          <w:t xml:space="preserve">https://doi.org/10.1080/10255842.2010.527837</w:t>
        </w:r>
      </w:hyperlink>
      <w:r>
        <w:t xml:space="preserve">.</w:t>
      </w:r>
    </w:p>
    <w:bookmarkEnd w:id="149"/>
    <w:bookmarkStart w:id="151"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50">
        <w:r>
          <w:rPr>
            <w:rStyle w:val="Hyperlink"/>
          </w:rPr>
          <w:t xml:space="preserve">https://doi.org/10.1016/j.jbiomech.2015.02.051</w:t>
        </w:r>
      </w:hyperlink>
      <w:r>
        <w:t xml:space="preserve">.</w:t>
      </w:r>
    </w:p>
    <w:bookmarkEnd w:id="151"/>
    <w:bookmarkStart w:id="153"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2">
        <w:r>
          <w:rPr>
            <w:rStyle w:val="Hyperlink"/>
          </w:rPr>
          <w:t xml:space="preserve">https://doi.org/10.2307/2531021</w:t>
        </w:r>
      </w:hyperlink>
      <w:r>
        <w:t xml:space="preserve">.</w:t>
      </w:r>
    </w:p>
    <w:bookmarkEnd w:id="153"/>
    <w:bookmarkStart w:id="155"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4">
        <w:r>
          <w:rPr>
            <w:rStyle w:val="Hyperlink"/>
          </w:rPr>
          <w:t xml:space="preserve">https://doi.org/10.1007/BF01068419</w:t>
        </w:r>
      </w:hyperlink>
      <w:r>
        <w:t xml:space="preserve">.</w:t>
      </w:r>
    </w:p>
    <w:bookmarkEnd w:id="155"/>
    <w:bookmarkStart w:id="157"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6">
        <w:r>
          <w:rPr>
            <w:rStyle w:val="Hyperlink"/>
          </w:rPr>
          <w:t xml:space="preserve">https://doi.org/10.1136/bjsports-2018-099246</w:t>
        </w:r>
      </w:hyperlink>
      <w:r>
        <w:t xml:space="preserve">.</w:t>
      </w:r>
    </w:p>
    <w:bookmarkEnd w:id="157"/>
    <w:bookmarkStart w:id="159"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8">
        <w:r>
          <w:rPr>
            <w:rStyle w:val="Hyperlink"/>
          </w:rPr>
          <w:t xml:space="preserve">https://doi.org/10.1080/14763140508522852</w:t>
        </w:r>
      </w:hyperlink>
      <w:r>
        <w:t xml:space="preserve">.</w:t>
      </w:r>
    </w:p>
    <w:bookmarkEnd w:id="159"/>
    <w:bookmarkStart w:id="161"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60">
        <w:r>
          <w:rPr>
            <w:rStyle w:val="Hyperlink"/>
          </w:rPr>
          <w:t xml:space="preserve">https://doi.org/10.1037/0033-2909.86.2.420</w:t>
        </w:r>
      </w:hyperlink>
      <w:r>
        <w:t xml:space="preserve">.</w:t>
      </w:r>
    </w:p>
    <w:bookmarkEnd w:id="161"/>
    <w:bookmarkStart w:id="16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2">
        <w:r>
          <w:rPr>
            <w:rStyle w:val="Hyperlink"/>
          </w:rPr>
          <w:t xml:space="preserve">https://doi.org/10.1371/journal.pcbi.1011462</w:t>
        </w:r>
      </w:hyperlink>
      <w:r>
        <w:t xml:space="preserve">.</w:t>
      </w:r>
    </w:p>
    <w:bookmarkEnd w:id="163"/>
    <w:bookmarkStart w:id="165"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4">
        <w:r>
          <w:rPr>
            <w:rStyle w:val="Hyperlink"/>
          </w:rPr>
          <w:t xml:space="preserve">https://doi.org/10.1136/bjsports-2017-097796</w:t>
        </w:r>
      </w:hyperlink>
      <w:r>
        <w:t xml:space="preserve">.</w:t>
      </w:r>
    </w:p>
    <w:bookmarkEnd w:id="165"/>
    <w:bookmarkStart w:id="167"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6">
        <w:r>
          <w:rPr>
            <w:rStyle w:val="Hyperlink"/>
          </w:rPr>
          <w:t xml:space="preserve">https://doi.org/10.1136/bjsm.2009.066944</w:t>
        </w:r>
      </w:hyperlink>
      <w:r>
        <w:t xml:space="preserve">.</w:t>
      </w:r>
    </w:p>
    <w:bookmarkEnd w:id="167"/>
    <w:bookmarkStart w:id="169"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68">
        <w:r>
          <w:rPr>
            <w:rStyle w:val="Hyperlink"/>
          </w:rPr>
          <w:t xml:space="preserve">https://doi.org/10.1002/9780470549148</w:t>
        </w:r>
      </w:hyperlink>
      <w:r>
        <w:t xml:space="preserve">.</w:t>
      </w:r>
    </w:p>
    <w:bookmarkEnd w:id="169"/>
    <w:bookmarkStart w:id="171"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70">
        <w:r>
          <w:rPr>
            <w:rStyle w:val="Hyperlink"/>
          </w:rPr>
          <w:t xml:space="preserve">https://doi.org/10.1109/CVPRW63382.2024.00327</w:t>
        </w:r>
      </w:hyperlink>
      <w:r>
        <w:t xml:space="preserve">.</w:t>
      </w:r>
    </w:p>
    <w:bookmarkEnd w:id="171"/>
    <w:bookmarkStart w:id="173"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2">
        <w:r>
          <w:rPr>
            <w:rStyle w:val="Hyperlink"/>
          </w:rPr>
          <w:t xml:space="preserve">https://doi.org/10.1109/CVPRW67362.2025.00592</w:t>
        </w:r>
      </w:hyperlink>
      <w:r>
        <w:t xml:space="preserve">.</w:t>
      </w:r>
    </w:p>
    <w:bookmarkEnd w:id="173"/>
    <w:bookmarkEnd w:id="174"/>
    <w:bookmarkEnd w:id="175"/>
    <w:bookmarkStart w:id="216"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9"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7" name="Picture"/>
            <a:graphic>
              <a:graphicData uri="http://schemas.openxmlformats.org/drawingml/2006/picture">
                <pic:pic>
                  <pic:nvPicPr>
                    <pic:cNvPr descr="../../resultados/paper/fig2_contact.png" id="178" name="Picture"/>
                    <pic:cNvPicPr>
                      <a:picLocks noChangeArrowheads="1" noChangeAspect="1"/>
                    </pic:cNvPicPr>
                  </pic:nvPicPr>
                  <pic:blipFill>
                    <a:blip r:embed="rId176"/>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9"/>
    <w:bookmarkStart w:id="183"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1" name="Picture"/>
            <a:graphic>
              <a:graphicData uri="http://schemas.openxmlformats.org/drawingml/2006/picture">
                <pic:pic>
                  <pic:nvPicPr>
                    <pic:cNvPr descr="../../resultados/paper/figS2_intensity.png" id="182" name="Picture"/>
                    <pic:cNvPicPr>
                      <a:picLocks noChangeArrowheads="1" noChangeAspect="1"/>
                    </pic:cNvPicPr>
                  </pic:nvPicPr>
                  <pic:blipFill>
                    <a:blip r:embed="rId180"/>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3"/>
    <w:bookmarkStart w:id="187"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5" name="Picture"/>
            <a:graphic>
              <a:graphicData uri="http://schemas.openxmlformats.org/drawingml/2006/picture">
                <pic:pic>
                  <pic:nvPicPr>
                    <pic:cNvPr descr="../../resultados/paper/fig4_sensitivity.png" id="186" name="Picture"/>
                    <pic:cNvPicPr>
                      <a:picLocks noChangeArrowheads="1" noChangeAspect="1"/>
                    </pic:cNvPicPr>
                  </pic:nvPicPr>
                  <pic:blipFill>
                    <a:blip r:embed="rId184"/>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7"/>
    <w:bookmarkStart w:id="191"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9" name="Picture"/>
            <a:graphic>
              <a:graphicData uri="http://schemas.openxmlformats.org/drawingml/2006/picture">
                <pic:pic>
                  <pic:nvPicPr>
                    <pic:cNvPr descr="../../resultados/paper/figS1_sensitivity_cmu.png" id="190" name="Picture"/>
                    <pic:cNvPicPr>
                      <a:picLocks noChangeArrowheads="1" noChangeAspect="1"/>
                    </pic:cNvPicPr>
                  </pic:nvPicPr>
                  <pic:blipFill>
                    <a:blip r:embed="rId188"/>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1"/>
    <w:bookmarkStart w:id="195" w:name="figS:ablation"/>
    <w:p>
      <w:pPr>
        <w:pStyle w:val="CaptionedFigure"/>
      </w:pPr>
      <w:r>
        <w:drawing>
          <wp:inline>
            <wp:extent cx="5334000" cy="2270788"/>
            <wp:effectExtent b="0" l="0" r="0" t="0"/>
            <wp:docPr descr="Figure S5. Effect of (a) the 2D error model, (b) the frame rate and (c) knowing the contact instant, at 80 px." title="" id="193" name="Picture"/>
            <a:graphic>
              <a:graphicData uri="http://schemas.openxmlformats.org/drawingml/2006/picture">
                <pic:pic>
                  <pic:nvPicPr>
                    <pic:cNvPr descr="../../resultados/paper/fig5_ablation.png" id="194" name="Picture"/>
                    <pic:cNvPicPr>
                      <a:picLocks noChangeArrowheads="1" noChangeAspect="1"/>
                    </pic:cNvPicPr>
                  </pic:nvPicPr>
                  <pic:blipFill>
                    <a:blip r:embed="rId192"/>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5"/>
    <w:bookmarkStart w:id="199"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7" name="Picture"/>
            <a:graphic>
              <a:graphicData uri="http://schemas.openxmlformats.org/drawingml/2006/picture">
                <pic:pic>
                  <pic:nvPicPr>
                    <pic:cNvPr descr="../../resultados/paper/figS3_bland.png" id="198" name="Picture"/>
                    <pic:cNvPicPr>
                      <a:picLocks noChangeArrowheads="1" noChangeAspect="1"/>
                    </pic:cNvPicPr>
                  </pic:nvPicPr>
                  <pic:blipFill>
                    <a:blip r:embed="rId196"/>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9"/>
    <w:bookmarkStart w:id="203" w:name="figS:icc"/>
    <w:p>
      <w:pPr>
        <w:pStyle w:val="CaptionedFigure"/>
      </w:pPr>
      <w:r>
        <w:drawing>
          <wp:inline>
            <wp:extent cx="4267200" cy="2133600"/>
            <wp:effectExtent b="0" l="0" r="0" t="0"/>
            <wp:docPr descr="Figure S7. Between-player agreement, ICC(2,1), by feature and camera view (MoVi, 80 px, 25 fps, broadcast residuals, known contact)." title="" id="201" name="Picture"/>
            <a:graphic>
              <a:graphicData uri="http://schemas.openxmlformats.org/drawingml/2006/picture">
                <pic:pic>
                  <pic:nvPicPr>
                    <pic:cNvPr descr="../../resultados/paper/fig6_reliability.png" id="202" name="Picture"/>
                    <pic:cNvPicPr>
                      <a:picLocks noChangeArrowheads="1" noChangeAspect="1"/>
                    </pic:cNvPicPr>
                  </pic:nvPicPr>
                  <pic:blipFill>
                    <a:blip r:embed="rId200"/>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3"/>
    <w:bookmarkStart w:id="207"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5" name="Picture"/>
            <a:graphic>
              <a:graphicData uri="http://schemas.openxmlformats.org/drawingml/2006/picture">
                <pic:pic>
                  <pic:nvPicPr>
                    <pic:cNvPr descr="../../resultados/paper/fig10_finetune.png" id="206" name="Picture"/>
                    <pic:cNvPicPr>
                      <a:picLocks noChangeArrowheads="1" noChangeAspect="1"/>
                    </pic:cNvPicPr>
                  </pic:nvPicPr>
                  <pic:blipFill>
                    <a:blip r:embed="rId204"/>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7"/>
    <w:bookmarkStart w:id="211"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09" name="Picture"/>
            <a:graphic>
              <a:graphicData uri="http://schemas.openxmlformats.org/drawingml/2006/picture">
                <pic:pic>
                  <pic:nvPicPr>
                    <pic:cNvPr descr="../../resultados/paper/figS9_field_views.png" id="210" name="Picture"/>
                    <pic:cNvPicPr>
                      <a:picLocks noChangeArrowheads="1" noChangeAspect="1"/>
                    </pic:cNvPicPr>
                  </pic:nvPicPr>
                  <pic:blipFill>
                    <a:blip r:embed="rId208"/>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1"/>
    <w:bookmarkStart w:id="215"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3" name="Picture"/>
            <a:graphic>
              <a:graphicData uri="http://schemas.openxmlformats.org/drawingml/2006/picture">
                <pic:pic>
                  <pic:nvPicPr>
                    <pic:cNvPr descr="../../resultados/paper/figS10_field_compare.png" id="214" name="Picture"/>
                    <pic:cNvPicPr>
                      <a:picLocks noChangeArrowheads="1" noChangeAspect="1"/>
                    </pic:cNvPicPr>
                  </pic:nvPicPr>
                  <pic:blipFill>
                    <a:blip r:embed="rId212"/>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6" Target="media/rId176.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2" Target="media/rId212.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8" Target="media/rId208.png" /><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2026-10-17T16:03:49Z</dcterms:created>
  <dcterms:modified xsi:type="dcterms:W3CDTF">2026-10-17T16:03:49Z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