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png" ContentType="image/png"/>
  <Override PartName="/word/media/rId60.png" ContentType="image/png"/>
  <Override PartName="/word/media/rId12.png" ContentType="image/png"/>
  <Override PartName="/word/media/rId176.png" ContentType="image/png"/>
  <Override PartName="/word/media/rId18.png" ContentType="image/png"/>
  <Override PartName="/word/media/rId30.png" ContentType="image/png"/>
  <Override PartName="/word/media/rId35.png" ContentType="image/png"/>
  <Override PartName="/word/media/rId184.png" ContentType="image/png"/>
  <Override PartName="/word/media/rId192.png" ContentType="image/png"/>
  <Override PartName="/word/media/rId200.png" ContentType="image/png"/>
  <Override PartName="/word/media/rId43.png" ContentType="image/png"/>
  <Override PartName="/word/media/rId48.png" ContentType="image/png"/>
  <Override PartName="/word/media/rId53.png" ContentType="image/png"/>
  <Override PartName="/word/media/rId212.png" ContentType="image/png"/>
  <Override PartName="/word/media/rId188.png" ContentType="image/png"/>
  <Override PartName="/word/media/rId180.png" ContentType="image/png"/>
  <Override PartName="/word/media/rId196.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4,349.</w:t>
      </w:r>
    </w:p>
    <w:bookmarkStart w:id="10" w:name="abstract"/>
    <w:p>
      <w:pPr>
        <w:pStyle w:val="Heading1"/>
      </w:pPr>
      <w:r>
        <w:t xml:space="preserve">Abstract</w:t>
      </w:r>
    </w:p>
    <w:p>
      <w:pPr>
        <w:pStyle w:val="FirstParagraph"/>
      </w:pPr>
      <w:r>
        <w:t xml:space="preserve">Professional football now measures the ball, but the kicking body is only visible on broadcast video. This method-comparison study asked for which practical uses single-camera broadcast-like video can measure kicking kinematics and swing-leg joint loads. Optical motion capture of 90 laboratory kicks (7 ball kicks; 83 participants) served as reference. Kicks were filmed by a virtual broadcast camera carrying the real 2D detector error of 200 Premier League shots, lifted to 3D, and checked on real video with synchronised capture and a per-recording digital twin. Six kinematic features and three swing-leg joint moments were judged against literature-based criteria for comparing with laboratory norms, ranking players and monitoring individuals. Broadcast detection error was 7.6–12.9 % of player height. From a single camera (80 px, 25 fps) and the published lifter no variable met any criterion (best ICC 0.64). The digital twin predicted real-video errors (r = 0.84). Fusing three replays with a laboratory correction made kicking-knee flexion acceptable for ranking players (ICC 0.80) and trunk leans comparable with laboratory norms (MAE &lt; 5°); no variable could monitor individuals. A swing-leg load index was valid in the laboratory (ρ = 0.79 with kick intensity) but not from video (reliability 0.08), so validating it as an injury predictor would need about 590 injuries (12–24 LaLiga seasons). Smartphone recordings of real kicks reproduced these patterns. Single-camera broadcast video does not yet support individual kicking biomechanics or load-based injury scores; replay fusion and ball-contact timing allow limited ranking uses, pending validation on football-specific data.</w:t>
      </w:r>
    </w:p>
    <w:p>
      <w:pPr>
        <w:pStyle w:val="BodyText"/>
      </w:pPr>
      <w:r>
        <w:rPr>
          <w:b/>
          <w:bCs/>
        </w:rPr>
        <w:t xml:space="preserve">Keywords:</w:t>
      </w:r>
      <w:r>
        <w:t xml:space="preserve"> </w:t>
      </w:r>
      <w:r>
        <w:t xml:space="preserve">football; kicking; broadcast video; markerless motion capture; agreement; inverse dynamics</w:t>
      </w:r>
    </w:p>
    <w:bookmarkEnd w:id="10"/>
    <w:bookmarkStart w:id="11"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1"/>
    <w:bookmarkStart w:id="29" w:name="methods"/>
    <w:p>
      <w:pPr>
        <w:pStyle w:val="Heading1"/>
      </w:pPr>
      <w:r>
        <w:t xml:space="preserve">2. Methods</w:t>
      </w:r>
    </w:p>
    <w:bookmarkStart w:id="17" w:name="design-data-and-reporting"/>
    <w:p>
      <w:pPr>
        <w:pStyle w:val="Heading2"/>
      </w:pPr>
      <w:r>
        <w:t xml:space="preserve">2.1 Design, data and reporting</w:t>
      </w:r>
    </w:p>
    <w:p>
      <w:pPr>
        <w:pStyle w:val="FirstParagraph"/>
      </w:pPr>
      <w:r>
        <w:t xml:space="preserve">This was a method-comparison (agreement) study using secondary analysis of public datasets, complemented by a field example (Section 2.6),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6"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6"/>
    <w:bookmarkEnd w:id="17"/>
    <w:bookmarkStart w:id="22"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expressed as z-scores relative to the MoVi laboratory distribution.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1"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19" name="Picture"/>
            <a:graphic>
              <a:graphicData uri="http://schemas.openxmlformats.org/drawingml/2006/picture">
                <pic:pic>
                  <pic:nvPicPr>
                    <pic:cNvPr descr="../../resultados/paper/fig2_model.png" id="20" name="Picture"/>
                    <pic:cNvPicPr>
                      <a:picLocks noChangeArrowheads="1" noChangeAspect="1"/>
                    </pic:cNvPicPr>
                  </pic:nvPicPr>
                  <pic:blipFill>
                    <a:blip r:embed="rId18"/>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1"/>
    <w:bookmarkEnd w:id="22"/>
    <w:bookmarkStart w:id="23"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was scaled to the reference thigh length (equivalent to knowing stature) and rigidly aligned once per sequence (equivalent to pitch calibration). Contact was either</w:t>
      </w:r>
      <w:r>
        <w:t xml:space="preserve"> </w:t>
      </w:r>
      <w:r>
        <w:rPr>
          <w:i/>
          <w:iCs/>
        </w:rPr>
        <w:t xml:space="preserve">known</w:t>
      </w:r>
      <w:r>
        <w:t xml:space="preserve"> </w:t>
      </w:r>
      <w:r>
        <w:t xml:space="preserve">(as a ball sensor provides) or</w:t>
      </w:r>
      <w:r>
        <w:t xml:space="preserve"> </w:t>
      </w:r>
      <w:r>
        <w:rPr>
          <w:i/>
          <w:iCs/>
        </w:rPr>
        <w:t xml:space="preserve">automatic</w:t>
      </w:r>
      <w:r>
        <w:t xml:space="preserve"> </w:t>
      </w:r>
      <w:r>
        <w:t xml:space="preserve">(ankle-speed peak of the reconstruction). Apart from scale and alignment, the video estimates never used the reference.</w:t>
      </w:r>
    </w:p>
    <w:bookmarkEnd w:id="23"/>
    <w:bookmarkStart w:id="24" w:name="real-video-and-digital-twin"/>
    <w:p>
      <w:pPr>
        <w:pStyle w:val="Heading2"/>
      </w:pPr>
      <w:r>
        <w:t xml:space="preserve">2.4 Real video and digital twin</w:t>
      </w:r>
    </w:p>
    <w:p>
      <w:pPr>
        <w:pStyle w:val="FirstParagraph"/>
      </w:pPr>
      <w:r>
        <w:t xml:space="preserve">For every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If the twin reproduces the errors measured on real images, its broadcast variant is a credible estimate of broadcast error.</w:t>
      </w:r>
    </w:p>
    <w:bookmarkEnd w:id="24"/>
    <w:bookmarkStart w:id="25"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5"/>
    <w:bookmarkStart w:id="26" w:name="field-example"/>
    <w:p>
      <w:pPr>
        <w:pStyle w:val="Heading2"/>
      </w:pPr>
      <w:r>
        <w:t xml:space="preserve">2.6 Field example</w:t>
      </w:r>
    </w:p>
    <w:p>
      <w:pPr>
        <w:pStyle w:val="FirstParagraph"/>
      </w:pPr>
      <w:r>
        <w:t xml:space="preserve">To illustrate the pipeline on genuine football kicks, the author (adult male, 177 cm, 78 kg, recreational right-footed player) performed 13 instep kicks of a stationary ball on an outdoor hard court (8 strong, 5 soft), each filmed once with a smartphone at a fixed position (1920 × 1080 px, 60 fps) from one of four views: lateral (5 kicks), diagonal from behind (4), diagonal from the front (2) and front (2). The player measured 170–241 px (median 199 px). The videos were processed with the same detector and lifter at native resolution and with the player downscaled to 80 px and JPEG-compressed. The reconstruction was scaled with a thigh length of 0.245 × stature</w:t>
      </w:r>
      <w:r>
        <w:t xml:space="preserve"> </w:t>
      </w:r>
      <w:r>
        <w:t xml:space="preserve">(</w:t>
      </w:r>
      <w:hyperlink w:anchor="ref-winter2009">
        <w:r>
          <w:rPr>
            <w:rStyle w:val="Hyperlink"/>
          </w:rPr>
          <w:t xml:space="preserve">Winter 2009</w:t>
        </w:r>
      </w:hyperlink>
      <w:r>
        <w:t xml:space="preserve">)</w:t>
      </w:r>
      <w:r>
        <w:t xml:space="preserve">, the image vertical was taken as the world vertical (level camera), occasional left–right swaps of knee and ankle labels were corrected by temporal continuity (Viterbi; 20 of 10 200 frames), and contact was the speed peak of the right (kicking) ankle. Without motion capture this example tests plausibility — whether strong and soft kicks are told apart — and consistency across resolutions, not validity.</w:t>
      </w:r>
    </w:p>
    <w:bookmarkEnd w:id="26"/>
    <w:bookmarkStart w:id="27"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λ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the available datasets (83 participants, above the minimum of 30 heterogeneous samples recommended for reliability studies</w:t>
      </w:r>
      <w:r>
        <w:t xml:space="preserve"> </w:t>
      </w:r>
      <w:r>
        <w:t xml:space="preserve">(</w:t>
      </w:r>
      <w:hyperlink w:anchor="ref-koo2016">
        <w:r>
          <w:rPr>
            <w:rStyle w:val="Hyperlink"/>
          </w:rPr>
          <w:t xml:space="preserve">Koo and Li 2016</w:t>
        </w:r>
      </w:hyperlink>
      <w:r>
        <w:t xml:space="preserve">)</w:t>
      </w:r>
      <w:r>
        <w:t xml:space="preserve">).</w:t>
      </w:r>
    </w:p>
    <w:p>
      <w:pPr>
        <w:pStyle w:val="BodyText"/>
      </w:pPr>
      <w:r>
        <w:t xml:space="preserve">Fitness for use was judged against criteria taken from the literature, one per practical use.</w:t>
      </w:r>
      <w:r>
        <w:t xml:space="preserve"> </w:t>
      </w:r>
      <w:r>
        <w:rPr>
          <w:i/>
          <w:iCs/>
        </w:rPr>
        <w:t xml:space="preserve">Comparison with laboratory norms</w:t>
      </w:r>
      <w:r>
        <w:t xml:space="preserve"> </w:t>
      </w:r>
      <w:r>
        <w:t xml:space="preserve">(angles): MAE ≤ 5°, the level above which kinematic error is considered concerning</w:t>
      </w:r>
      <w:r>
        <w:t xml:space="preserve"> </w:t>
      </w:r>
      <w:r>
        <w:t xml:space="preserve">(</w:t>
      </w:r>
      <w:hyperlink w:anchor="ref-mcginley2009">
        <w:r>
          <w:rPr>
            <w:rStyle w:val="Hyperlink"/>
          </w:rPr>
          <w:t xml:space="preserve">McGinley et al. 2009</w:t>
        </w:r>
      </w:hyperlink>
      <w:r>
        <w:t xml:space="preserve">)</w:t>
      </w:r>
      <w:r>
        <w:t xml:space="preserve">, and a bias equivalent to zero within ±5° (two one-sided tests, α = 0.05, one value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Ranking players</w:t>
      </w:r>
      <w:r>
        <w:t xml:space="preserve">: ICC ≥ 0.75 with the lower 95 % confidence limit ≥ 0.5.</w:t>
      </w:r>
      <w:r>
        <w:t xml:space="preserve"> </w:t>
      </w:r>
      <w:r>
        <w:rPr>
          <w:i/>
          <w:iCs/>
        </w:rPr>
        <w:t xml:space="preserve">Monitoring an individual</w:t>
      </w:r>
      <w:r>
        <w:t xml:space="preserve">: random error (SD of the differences) no larger than the smallest worthwhile change, 0.2 between-player SDs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Group-mean waveforms of laboratory and reconstructed knee and hip flexion were compared with non-parametric one-dimensional statistical parametric mapping</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paired</w:t>
      </w:r>
      <w:r>
        <w:t xml:space="preserve"> </w:t>
      </w:r>
      <w:r>
        <w:rPr>
          <w:i/>
          <w:iCs/>
        </w:rPr>
        <w:t xml:space="preserve">t</w:t>
      </w:r>
      <w:r>
        <w:t xml:space="preserve"> </w:t>
      </w:r>
      <w:r>
        <w:t xml:space="preserve">statistics at each instant, with critical threshold and cluster</w:t>
      </w:r>
      <w:r>
        <w:t xml:space="preserve"> </w:t>
      </w:r>
      <w:r>
        <w:rPr>
          <w:i/>
          <w:iCs/>
        </w:rPr>
        <w:t xml:space="preserve">p</w:t>
      </w:r>
      <w:r>
        <w:t xml:space="preserve">-values from 10 000 sign-flip permutations of the maximum |</w:t>
      </w:r>
      <w:r>
        <w:rPr>
          <w:i/>
          <w:iCs/>
        </w:rPr>
        <w:t xml:space="preserve">t</w:t>
      </w:r>
      <w:r>
        <w:t xml:space="preserve">| (family-wise α = 0.05).</w:t>
      </w:r>
    </w:p>
    <w:bookmarkEnd w:id="27"/>
    <w:bookmarkStart w:id="28" w:name="size-of-an-injury-study"/>
    <w:p>
      <w:pPr>
        <w:pStyle w:val="Heading2"/>
      </w:pPr>
      <w:r>
        <w:t xml:space="preserve">2.8 Size of an injury study</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w:t>
      </w:r>
      <w:r>
        <w:t xml:space="preserve"> </w:t>
      </w:r>
      <w:r>
        <w:t xml:space="preserve">(</w:t>
      </w:r>
      <w:hyperlink w:anchor="ref-hutcheon2010">
        <w:r>
          <w:rPr>
            <w:rStyle w:val="Hyperlink"/>
          </w:rPr>
          <w:t xml:space="preserve">Hutcheon et al. 2010</w:t>
        </w:r>
      </w:hyperlink>
      <w:r>
        <w:t xml:space="preserve">)</w:t>
      </w:r>
      <w:r>
        <w:t xml:space="preserve">. With Schoenfeld’s formula</w:t>
      </w:r>
      <w:r>
        <w:t xml:space="preserve"> </w:t>
      </w:r>
      <w:r>
        <w:t xml:space="preserve">(</w:t>
      </w:r>
      <w:hyperlink w:anchor="ref-schoenfeld1983">
        <w:r>
          <w:rPr>
            <w:rStyle w:val="Hyperlink"/>
          </w:rPr>
          <w:t xml:space="preserve">Schoenfeld 1983</w:t>
        </w:r>
      </w:hyperlink>
      <w:r>
        <w:t xml:space="preserve">)</w:t>
      </w:r>
      <w:r>
        <w:t xml:space="preserve">, the number of injuries needed to detect a hazard ratio HR per SD of</w:t>
      </w:r>
      <w:r>
        <w:t xml:space="preserve"> </w:t>
      </w:r>
      <w:r>
        <w:rPr>
          <w:i/>
          <w:iCs/>
        </w:rPr>
        <w:t xml:space="preserve">X</w:t>
      </w:r>
      <w:r>
        <w:t xml:space="preserve"> </w:t>
      </w:r>
      <w:r>
        <w:t xml:space="preserve">(α = 0.05,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players and 0.05–0.10 kicking-related adductor or quadriceps injuries per player-season (0.6 muscle injuries per player-season, 42 % adductor or quadriceps</w:t>
      </w:r>
      <w:r>
        <w:t xml:space="preserve"> </w:t>
      </w:r>
      <w:r>
        <w:t xml:space="preserve">(</w:t>
      </w:r>
      <w:hyperlink w:anchor="ref-ekstrand2011">
        <w:r>
          <w:rPr>
            <w:rStyle w:val="Hyperlink"/>
          </w:rPr>
          <w:t xml:space="preserve">Ekstrand et al. 2011</w:t>
        </w:r>
      </w:hyperlink>
      <w:r>
        <w:t xml:space="preserve">)</w:t>
      </w:r>
      <w:r>
        <w:t xml:space="preserve">, a quarter to a half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28"/>
    <w:bookmarkEnd w:id="29"/>
    <w:bookmarkStart w:id="65" w:name="results"/>
    <w:p>
      <w:pPr>
        <w:pStyle w:val="Heading1"/>
      </w:pPr>
      <w:r>
        <w:t xml:space="preserve">3. Results</w:t>
      </w:r>
    </w:p>
    <w:bookmarkStart w:id="34"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3"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1" name="Picture"/>
            <a:graphic>
              <a:graphicData uri="http://schemas.openxmlformats.org/drawingml/2006/picture">
                <pic:pic>
                  <pic:nvPicPr>
                    <pic:cNvPr descr="../../resultados/paper/fig3_2d_error.png" id="32" name="Picture"/>
                    <pic:cNvPicPr>
                      <a:picLocks noChangeArrowheads="1" noChangeAspect="1"/>
                    </pic:cNvPicPr>
                  </pic:nvPicPr>
                  <pic:blipFill>
                    <a:blip r:embed="rId30"/>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3"/>
    <w:bookmarkEnd w:id="34"/>
    <w:bookmarkStart w:id="39"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 p &lt; 0.05)." title="" id="36" name="Picture"/>
            <a:graphic>
              <a:graphicData uri="http://schemas.openxmlformats.org/drawingml/2006/picture">
                <pic:pic>
                  <pic:nvPicPr>
                    <pic:cNvPr descr="../../resultados/paper/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w:t>
      </w:r>
      <w:r>
        <w:t xml:space="preserve"> </w:t>
      </w:r>
      <w:r>
        <w:rPr>
          <w:i/>
          <w:iCs/>
        </w:rPr>
        <w:t xml:space="preserve">p</w:t>
      </w:r>
      <w:r>
        <w:t xml:space="preserve"> </w:t>
      </w:r>
      <w:r>
        <w:t xml:space="preserve">&lt; 0.05).</w:t>
      </w:r>
    </w:p>
    <w:bookmarkEnd w:id="38"/>
    <w:bookmarkEnd w:id="39"/>
    <w:bookmarkStart w:id="41"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0"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0.11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0.61</w:t>
            </w:r>
          </w:p>
        </w:tc>
        <w:tc>
          <w:tcPr/>
          <w:p>
            <w:pPr>
              <w:pStyle w:val="Compact"/>
              <w:jc w:val="right"/>
            </w:pPr>
            <w:r>
              <w:t xml:space="preserve">0.16 (0.05–0.30)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40"/>
    <w:bookmarkEnd w:id="41"/>
    <w:bookmarkStart w:id="47" w:name="real-video-and-digital-twin-1"/>
    <w:p>
      <w:pPr>
        <w:pStyle w:val="Heading2"/>
      </w:pPr>
      <w:r>
        <w:t xml:space="preserve">3.4 Real video and digital twin</w:t>
      </w:r>
    </w:p>
    <w:p>
      <w:pPr>
        <w:pStyle w:val="FirstParagraph"/>
      </w:pPr>
      <w:r>
        <w:t xml:space="preserve">On the real MoVi recordings (82 participants with usable video × 2 cameras) feature errors grew only moderately from native resolution to 50 px (Table 3, Figure 5a). Two features carried large size-independent biases — kicking-hip peak extension (+22 to +25°) and trunk sagittal lean (−13°) — consistent with the different definitions of detector keypoints (skin-surface hips and shoulders) and joint centres. At 80 px agreement was good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so the broadcast errors above are, if anything, lower bounds.</w:t>
      </w:r>
    </w:p>
    <w:bookmarkStart w:id="42" w:name="tbl:real"/>
    <w:p>
      <w:pPr>
        <w:pStyle w:val="TableCaption"/>
      </w:pPr>
      <w:r>
        <w:t xml:space="preserve">Table 3.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0728"/>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4" name="Picture"/>
            <a:graphic>
              <a:graphicData uri="http://schemas.openxmlformats.org/drawingml/2006/picture">
                <pic:pic>
                  <pic:nvPicPr>
                    <pic:cNvPr descr="../../resultados/paper/fig7_real_video.png" id="45" name="Picture"/>
                    <pic:cNvPicPr>
                      <a:picLocks noChangeArrowheads="1" noChangeAspect="1"/>
                    </pic:cNvPicPr>
                  </pic:nvPicPr>
                  <pic:blipFill>
                    <a:blip r:embed="rId43"/>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6"/>
    <w:bookmarkEnd w:id="47"/>
    <w:bookmarkStart w:id="52" w:name="swing-leg-joint-loads"/>
    <w:p>
      <w:pPr>
        <w:pStyle w:val="Heading2"/>
      </w:pPr>
      <w:r>
        <w:t xml:space="preserve">3.5 Swing-leg joint loads</w:t>
      </w:r>
    </w:p>
    <w:p>
      <w:pPr>
        <w:pStyle w:val="FirstParagraph"/>
      </w:pPr>
      <w:r>
        <w:t xml:space="preserve">In the laboratory each peak moment increased with kick intensity (Spearman ρ = 0.56–0.58 with peak ankle speed,</w:t>
      </w:r>
      <w:r>
        <w:t xml:space="preserve"> </w:t>
      </w:r>
      <w:r>
        <w:rPr>
          <w:i/>
          <w:iCs/>
        </w:rPr>
        <w:t xml:space="preserve">p</w:t>
      </w:r>
      <w:r>
        <w:t xml:space="preserve"> </w:t>
      </w:r>
      <w:r>
        <w:t xml:space="preserve">&lt; 10⁻⁷) and the KLI did so strongly (ρ = 0.79; Figure 6a); the CMU ball kicks produced peak hip-flexor moments of 1.0–2.0 N·m/kg against 0.71 ± 0.30 N·m/kg for the MoVi air kicks. From broadcast-like video the loads were biased upwards, agreement was poor (ICC 0.06–0.16; Table 2, Figure 6b) and calibration slopes were 0.05–0.11. A ridge model predicting the laboratory loads from the six posture features explained 19–34 % of their variance and, applied to broadcast postures, reached λ = 0.30–0.38. Detecting a hazard ratio of 1.5 per SD of the true KLI therefore requires 48 injuries with a laboratory-grade measurement, 126 with the posture surrogate and about 590 with inverse dynamics from broadcast-like video (Figure 6c) — one to two, three to five and twelve to twenty-four seasons of the whole of LaLiga EA Sports, respectively.</w:t>
      </w:r>
    </w:p>
    <w:bookmarkStart w:id="51" w:name="fig:load"/>
    <w:p>
      <w:pPr>
        <w:pStyle w:val="CaptionedFigure"/>
      </w:pPr>
      <w:r>
        <w:drawing>
          <wp:inline>
            <wp:extent cx="5334000" cy="2303210"/>
            <wp:effectExtent b="0" l="0" r="0" t="0"/>
            <wp:docPr descr="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49" name="Picture"/>
            <a:graphic>
              <a:graphicData uri="http://schemas.openxmlformats.org/drawingml/2006/picture">
                <pic:pic>
                  <pic:nvPicPr>
                    <pic:cNvPr descr="../../resultados/paper/fig8_joint_load.png" id="50" name="Picture"/>
                    <pic:cNvPicPr>
                      <a:picLocks noChangeArrowheads="1" noChangeAspect="1"/>
                    </pic:cNvPicPr>
                  </pic:nvPicPr>
                  <pic:blipFill>
                    <a:blip r:embed="rId48"/>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51"/>
    <w:bookmarkEnd w:id="52"/>
    <w:bookmarkStart w:id="57" w:name="remedies-1"/>
    <w:p>
      <w:pPr>
        <w:pStyle w:val="Heading2"/>
      </w:pPr>
      <w:r>
        <w:t xml:space="preserve">3.6 Remedies</w:t>
      </w:r>
    </w:p>
    <w:p>
      <w:pPr>
        <w:pStyle w:val="FirstParagraph"/>
      </w:pPr>
      <w:r>
        <w:rPr>
          <w:i/>
          <w:iCs/>
        </w:rPr>
        <w:t xml:space="preserve">Replay fusion and bias correction.</w:t>
      </w:r>
      <w:r>
        <w:t xml:space="preserve"> </w:t>
      </w: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6"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4" name="Picture"/>
            <a:graphic>
              <a:graphicData uri="http://schemas.openxmlformats.org/drawingml/2006/picture">
                <pic:pic>
                  <pic:nvPicPr>
                    <pic:cNvPr descr="../../resultados/paper/fig9_improvements.png" id="55" name="Picture"/>
                    <pic:cNvPicPr>
                      <a:picLocks noChangeArrowheads="1" noChangeAspect="1"/>
                    </pic:cNvPicPr>
                  </pic:nvPicPr>
                  <pic:blipFill>
                    <a:blip r:embed="rId53"/>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6"/>
    <w:p>
      <w:pPr>
        <w:pStyle w:val="BodyText"/>
      </w:pPr>
      <w:r>
        <w:rPr>
          <w:i/>
          <w:iCs/>
        </w:rPr>
        <w:t xml:space="preserve">Adapted lifter.</w:t>
      </w:r>
      <w:r>
        <w:t xml:space="preserve"> </w:t>
      </w:r>
      <w:r>
        <w:t xml:space="preserve">Fine-tuning the lifter reduced its 3D error on synthetic broadcast windows of unseen participants by 60–64 % (MPJPE from about 0.09 to 0.033–0.037 player heights). On the virtual camera at 80 px with held-out broadcast residuals the mean feature error fell from 14.7° to 8.3°, and agreement rose for every feature (for example kicking-knee peak flexion ICC 0.64 → 0.82, trunk lateral lean 0.37 → 0.77, support-knee flexion 0.08 → 0.51; Supplementary Figure S8a). On real video downscaled to 80 px the gain was smaller (mean error 15.0° → 13.3°; kicking-hip range of motion ICC 0.67 → 0.76, kicking-knee peak flexion 0.56 → 0.67), and support-knee flexion worsened (12.5° → 14.6°). On the CMU ball kicks, absent from training, the adapted lifter was worse than the official one (mean error 11.8° → 16.7°; kicking-hip range of motion 18.2° → 33.0°; Supplementary Figure S8b). Joint loads remained unreliable (ICC ≤ 0.41).</w:t>
      </w:r>
    </w:p>
    <w:bookmarkEnd w:id="57"/>
    <w:bookmarkStart w:id="59" w:name="fitness-for-use"/>
    <w:p>
      <w:pPr>
        <w:pStyle w:val="Heading2"/>
      </w:pPr>
      <w:r>
        <w:t xml:space="preserve">3.7 Fitness for use</w:t>
      </w:r>
    </w:p>
    <w:p>
      <w:pPr>
        <w:pStyle w:val="FirstParagraph"/>
      </w:pPr>
      <w:r>
        <w:t xml:space="preserve">From a single broadcast camera no variable was fit for any use (Table 4). With three fused replays and laboratory bias correction, kicking-knee peak flexion became fit for ranking players (ICC 0.80, 95 % CI 0.70–0.87), kicking-hip peak extension fell just short (0.749, 0.61–0.85), and both trunk leans agreed with laboratory values within 5°. With the adapted lifter a single simulated camera sufficed for kicking-knee peak flexion and trunk lateral lean to rank players, and on real video at 80 px kicking-hip range of motion became fit for ranking (ICC 0.76, 0.68–0.83); with the official lifter, only trunk lateral lean met a criterion on real video (comparison with norms; MAE 3.8°). No variable, in any condition, could monitor an individual player (random errors 2.7 to 16.5 times the smallest worthwhile change), and no joint load met any criterion.</w:t>
      </w:r>
    </w:p>
    <w:bookmarkStart w:id="58" w:name="tbl:accept"/>
    <w:p>
      <w:pPr>
        <w:pStyle w:val="TableCaption"/>
      </w:pPr>
      <w:r>
        <w:t xml:space="preserve">Table 4. Fitness for use against literature-based criteria (MoVi; 80 px, 25 fps, known contact). Each cell gives the uses met and, in brackets, MAE (° or N·m/kg) and ICC(2,1);</w:t>
      </w:r>
      <w:r>
        <w:t xml:space="preserve"> </w:t>
      </w:r>
      <w:r>
        <w:t xml:space="preserve">“—”</w:t>
      </w:r>
      <w:r>
        <w:t xml:space="preserve">: no use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w:t>
      </w:r>
    </w:p>
    <w:tbl>
      <w:tblPr>
        <w:tblStyle w:val="Table"/>
        <w:tblW w:type="pct" w:w="5000"/>
        <w:tblLayout w:type="fixed"/>
        <w:tblLook w:firstRow="1" w:lastRow="0" w:firstColumn="0" w:lastColumn="0" w:noHBand="0" w:noVBand="0" w:val="0020"/>
        <w:tblCaption w:val="Table 4. Fitness for use against literature-based criteria (MoVi; 80 px, 25 fps, known contact). Each cell gives the uses met and, in brackets, MAE (° or N·m/kg) and ICC(2,1); “—”: no use met. Norms: comparison with laboratory norms (angles: MAE ≤ 5° and bias equivalent to zero within ±5°, TOST); ranking: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Single camera</w:t>
            </w:r>
          </w:p>
        </w:tc>
        <w:tc>
          <w:tcPr/>
          <w:p>
            <w:pPr>
              <w:pStyle w:val="Compact"/>
              <w:jc w:val="left"/>
            </w:pPr>
            <w:r>
              <w:t xml:space="preserve">3 replays + correction</w:t>
            </w:r>
          </w:p>
        </w:tc>
        <w:tc>
          <w:tcPr/>
          <w:p>
            <w:pPr>
              <w:pStyle w:val="Compact"/>
              <w:jc w:val="left"/>
            </w:pPr>
            <w:r>
              <w:t xml:space="preserve">Single camera, adapted lifter</w:t>
            </w:r>
          </w:p>
        </w:tc>
        <w:tc>
          <w:tcPr/>
          <w:p>
            <w:pPr>
              <w:pStyle w:val="Compact"/>
              <w:jc w:val="left"/>
            </w:pPr>
            <w:r>
              <w:t xml:space="preserve">Real video</w:t>
            </w:r>
          </w:p>
        </w:tc>
        <w:tc>
          <w:tcPr/>
          <w:p>
            <w:pPr>
              <w:pStyle w:val="Compact"/>
              <w:jc w:val="left"/>
            </w:pPr>
            <w:r>
              <w:t xml:space="preserve">Real video, adapted lifter</w:t>
            </w:r>
          </w:p>
        </w:tc>
      </w:tr>
      <w:tr>
        <w:tc>
          <w:tcPr/>
          <w:p>
            <w:pPr>
              <w:pStyle w:val="Compact"/>
              <w:jc w:val="left"/>
            </w:pPr>
            <w:r>
              <w:t xml:space="preserve">Support-knee flexion at contact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Kicking-knee peak flexion (°)</w:t>
            </w:r>
          </w:p>
        </w:tc>
        <w:tc>
          <w:tcPr/>
          <w:p>
            <w:pPr>
              <w:pStyle w:val="Compact"/>
              <w:jc w:val="left"/>
            </w:pPr>
            <w:r>
              <w:t xml:space="preserve">— (16.5°; 0.64)</w:t>
            </w:r>
          </w:p>
        </w:tc>
        <w:tc>
          <w:tcPr/>
          <w:p>
            <w:pPr>
              <w:pStyle w:val="Compact"/>
              <w:jc w:val="left"/>
            </w:pPr>
            <w:r>
              <w:rPr>
                <w:b/>
                <w:bCs/>
              </w:rPr>
              <w:t xml:space="preserve">ranking</w:t>
            </w:r>
            <w:r>
              <w:t xml:space="preserve"> </w:t>
            </w:r>
            <w:r>
              <w:t xml:space="preserve">(12.3°; 0.80)</w:t>
            </w:r>
          </w:p>
        </w:tc>
        <w:tc>
          <w:tcPr/>
          <w:p>
            <w:pPr>
              <w:pStyle w:val="Compact"/>
              <w:jc w:val="left"/>
            </w:pPr>
            <w:r>
              <w:rPr>
                <w:b/>
                <w:bCs/>
              </w:rPr>
              <w:t xml:space="preserve">ranking</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Kicking-hip peak extension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Kicking-hip range of motion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ranking</w:t>
            </w:r>
            <w:r>
              <w:t xml:space="preserve"> </w:t>
            </w:r>
            <w:r>
              <w:t xml:space="preserve">(12.6°; 0.76)</w:t>
            </w:r>
          </w:p>
        </w:tc>
      </w:tr>
      <w:tr>
        <w:tc>
          <w:tcPr/>
          <w:p>
            <w:pPr>
              <w:pStyle w:val="Compact"/>
              <w:jc w:val="left"/>
            </w:pPr>
            <w:r>
              <w:t xml:space="preserve">Trunk sagittal lean at contact (°)</w:t>
            </w:r>
          </w:p>
        </w:tc>
        <w:tc>
          <w:tcPr/>
          <w:p>
            <w:pPr>
              <w:pStyle w:val="Compact"/>
              <w:jc w:val="left"/>
            </w:pPr>
            <w:r>
              <w:t xml:space="preserve">— (7.1°; 0.42)</w:t>
            </w:r>
          </w:p>
        </w:tc>
        <w:tc>
          <w:tcPr/>
          <w:p>
            <w:pPr>
              <w:pStyle w:val="Compact"/>
              <w:jc w:val="left"/>
            </w:pPr>
            <w:r>
              <w:rPr>
                <w:b/>
                <w:bCs/>
              </w:rPr>
              <w:t xml:space="preserve">norms</w:t>
            </w:r>
            <w:r>
              <w:t xml:space="preserve"> </w:t>
            </w:r>
            <w:r>
              <w:t xml:space="preserve">(3.8°; 0.64)</w:t>
            </w:r>
          </w:p>
        </w:tc>
        <w:tc>
          <w:tcPr/>
          <w:p>
            <w:pPr>
              <w:pStyle w:val="Compact"/>
              <w:jc w:val="left"/>
            </w:pPr>
            <w:r>
              <w:rPr>
                <w:b/>
                <w:bCs/>
              </w:rPr>
              <w:t xml:space="preserve">norms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Trunk lateral lean at contact (°)</w:t>
            </w:r>
          </w:p>
        </w:tc>
        <w:tc>
          <w:tcPr/>
          <w:p>
            <w:pPr>
              <w:pStyle w:val="Compact"/>
              <w:jc w:val="left"/>
            </w:pPr>
            <w:r>
              <w:t xml:space="preserve">— (7.0°; 0.42)</w:t>
            </w:r>
          </w:p>
        </w:tc>
        <w:tc>
          <w:tcPr/>
          <w:p>
            <w:pPr>
              <w:pStyle w:val="Compact"/>
              <w:jc w:val="left"/>
            </w:pPr>
            <w:r>
              <w:rPr>
                <w:b/>
                <w:bCs/>
              </w:rPr>
              <w:t xml:space="preserve">norms</w:t>
            </w:r>
            <w:r>
              <w:t xml:space="preserve"> </w:t>
            </w:r>
            <w:r>
              <w:t xml:space="preserve">(4.6°; 0.56)</w:t>
            </w:r>
          </w:p>
        </w:tc>
        <w:tc>
          <w:tcPr/>
          <w:p>
            <w:pPr>
              <w:pStyle w:val="Compact"/>
              <w:jc w:val="left"/>
            </w:pPr>
            <w:r>
              <w:rPr>
                <w:b/>
                <w:bCs/>
              </w:rPr>
              <w:t xml:space="preserve">norms + ranking</w:t>
            </w:r>
            <w:r>
              <w:t xml:space="preserve"> </w:t>
            </w:r>
            <w:r>
              <w:t xml:space="preserve">(3.6°; 0.77)</w:t>
            </w:r>
          </w:p>
        </w:tc>
        <w:tc>
          <w:tcPr/>
          <w:p>
            <w:pPr>
              <w:pStyle w:val="Compact"/>
              <w:jc w:val="left"/>
            </w:pPr>
            <w:r>
              <w:rPr>
                <w:b/>
                <w:bCs/>
              </w:rPr>
              <w:t xml:space="preserve">norms</w:t>
            </w:r>
            <w:r>
              <w:t xml:space="preserve"> </w:t>
            </w:r>
            <w:r>
              <w:t xml:space="preserve">(3.8°; 0.71)</w:t>
            </w:r>
          </w:p>
        </w:tc>
        <w:tc>
          <w:tcPr/>
          <w:p>
            <w:pPr>
              <w:pStyle w:val="Compact"/>
              <w:jc w:val="left"/>
            </w:pPr>
            <w:r>
              <w:rPr>
                <w:b/>
                <w:bCs/>
              </w:rPr>
              <w:t xml:space="preserve">norms</w:t>
            </w:r>
            <w:r>
              <w:t xml:space="preserve"> </w:t>
            </w:r>
            <w:r>
              <w:t xml:space="preserve">(4.1°; 0.747)</w:t>
            </w:r>
          </w:p>
        </w:tc>
      </w:tr>
      <w:tr>
        <w:tc>
          <w:tcPr/>
          <w:p>
            <w:pPr>
              <w:pStyle w:val="Compact"/>
              <w:jc w:val="left"/>
            </w:pPr>
            <w:r>
              <w:t xml:space="preserve">Peak hip-flexor moment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Peak knee-extensor moment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Peak knee-flexor moment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field-example-1"/>
    <w:p>
      <w:pPr>
        <w:pStyle w:val="Heading2"/>
      </w:pPr>
      <w:r>
        <w:t xml:space="preserve">3.8 Field example</w:t>
      </w:r>
    </w:p>
    <w:p>
      <w:pPr>
        <w:pStyle w:val="FirstParagraph"/>
      </w:pPr>
      <w:r>
        <w:t xml:space="preserve">From the lateral and diagonal-behind views (Figure 8), strong kicks were told apart from soft ones by peak kicking-ankle speed (mean 12.0 m/s, range 8.9–14.7, versus 8.7 m/s, 8.0–10.4), kicking-knee peak flexion (93° versus 72°) and kicking-hip range of motion (113° versus 85°), and the ankle speeds were similar to those of the laboratory ball kicks (10.2–13.1 m/s). From the front the ordering was lost (6.7 m/s for the strong kick versus 8.1 m/s for the soft one) and kicking-hip peak extension became implausible (−32° and −25°), as the simulation predicted for frontal views (Supplementary Figure S9). Downscaling the player to 80 px changed knee peak flexion, hip extension and trunk leans by 1.4–3.4° on average and ankle speed by 1.1 m/s, but biased support-knee flexion (+7.6° on average, up to 24°). The estimated swing-leg moments, in contrast, were implausible: peak hip-flexor moments of 2.0–5.4 N·m/kg, well above the 1.0–2.0 N·m/kg of the laboratory ball kicks, and a soft kick could carry the same estimated load as a strong one (3.5 versus 3.6 N·m/kg; Supplementary Figure S10).</w:t>
      </w:r>
    </w:p>
    <w:bookmarkStart w:id="63" w:name="fig:field"/>
    <w:p>
      <w:pPr>
        <w:pStyle w:val="CaptionedFigure"/>
      </w:pPr>
      <w:r>
        <w:drawing>
          <wp:inline>
            <wp:extent cx="5334000" cy="4557365"/>
            <wp:effectExtent b="0" l="0" r="0" t="0"/>
            <wp:docPr descr="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 title="" id="61" name="Picture"/>
            <a:graphic>
              <a:graphicData uri="http://schemas.openxmlformats.org/drawingml/2006/picture">
                <pic:pic>
                  <pic:nvPicPr>
                    <pic:cNvPr descr="../../resultados/paper/fig11_field.png" id="62" name="Picture"/>
                    <pic:cNvPicPr>
                      <a:picLocks noChangeArrowheads="1" noChangeAspect="1"/>
                    </pic:cNvPicPr>
                  </pic:nvPicPr>
                  <pic:blipFill>
                    <a:blip r:embed="rId60"/>
                    <a:stretch>
                      <a:fillRect/>
                    </a:stretch>
                  </pic:blipFill>
                  <pic:spPr bwMode="auto">
                    <a:xfrm>
                      <a:off x="0" y="0"/>
                      <a:ext cx="5334000" cy="4557365"/>
                    </a:xfrm>
                    <a:prstGeom prst="rect">
                      <a:avLst/>
                    </a:prstGeom>
                    <a:noFill/>
                    <a:ln w="9525">
                      <a:noFill/>
                      <a:headEnd/>
                      <a:tailEnd/>
                    </a:ln>
                  </pic:spPr>
                </pic:pic>
              </a:graphicData>
            </a:graphic>
          </wp:inline>
        </w:drawing>
      </w:r>
    </w:p>
    <w:p>
      <w:pPr>
        <w:pStyle w:val="ImageCaption"/>
      </w:pPr>
      <w:r>
        <w:t xml:space="preserve">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w:t>
      </w:r>
    </w:p>
    <w:bookmarkEnd w:id="63"/>
    <w:bookmarkEnd w:id="64"/>
    <w:bookmarkEnd w:id="65"/>
    <w:bookmarkStart w:id="72" w:name="discussion"/>
    <w:p>
      <w:pPr>
        <w:pStyle w:val="Heading1"/>
      </w:pPr>
      <w:r>
        <w:t xml:space="preserve">4. Discussion</w:t>
      </w:r>
    </w:p>
    <w:bookmarkStart w:id="66" w:name="what-broadcast-video-can-measure-today"/>
    <w:p>
      <w:pPr>
        <w:pStyle w:val="Heading2"/>
      </w:pPr>
      <w:r>
        <w:t xml:space="preserve">4.1 What broadcast video can measure today</w:t>
      </w:r>
    </w:p>
    <w:p>
      <w:pPr>
        <w:pStyle w:val="FirstParagraph"/>
      </w:pPr>
      <w:r>
        <w:t xml:space="preserve">With open, general-purpose models a single broadcast camera does not deliver usable kicking biomechanics: no variable met a literature-based criterion for any practical use, leg-angle errors were 15–20° — of the order of the differences between players — and the best between-player agreement was moderate. A small absolute error is not enough: trunk leans were measured within about 7°, yet could not rank players because players differ little in them; a broadcast metric must be judged against the spread of the population it will rank. Frame rate did not matter, whereas the camera view, the detector’s error at small sizes and the contact instant did, so progress depends on better 2D detection of small players, the right camera and knowing when the foot meets the ball rather than on higher frame rates. Information that broadcasts already have changes the verdict: fusing the replay angles shown for most shots, with a laboratory-learnt correction, made kicking-knee flexion fit for ranking players and the trunk leans comparable with laboratory norms. Monitoring an individual, however — for example detecting that a player’s backswing has changed after injury — remained out of reach (random errors at least 2.7 times the smallest worthwhile change). Finally, Gaussian noise of the right magnitude over-stated errors by up to 1.8 times, so simulation studies of video biomechanics should use real residual sequences or, better, check themselves against real images, as our digital twin did. The field example reproduced these patterns on genuine ball kicks filmed with a phone: kick intensity was visible in ankle speed and posture from side and rear-diagonal views but not from the front, and the inverse-dynamics loads were implausible.</w:t>
      </w:r>
    </w:p>
    <w:bookmarkEnd w:id="66"/>
    <w:bookmarkStart w:id="67" w:name="X92001cd23f14ef1b46d81bc059490541d6678cd"/>
    <w:p>
      <w:pPr>
        <w:pStyle w:val="Heading2"/>
      </w:pPr>
      <w:r>
        <w:t xml:space="preserve">4.2 The connected ball and football-specific data</w:t>
      </w:r>
    </w:p>
    <w:p>
      <w:pPr>
        <w:pStyle w:val="FirstParagraph"/>
      </w:pPr>
      <w:r>
        <w:t xml:space="preserve">Knowing the contact instant reduced the error of the leg features by a quarter. LaLiga’s connected ball timestamps every touch</w:t>
      </w:r>
      <w:r>
        <w:t xml:space="preserve"> </w:t>
      </w:r>
      <w:r>
        <w:t xml:space="preserve">(</w:t>
      </w:r>
      <w:hyperlink w:anchor="ref-laliga2026">
        <w:r>
          <w:rPr>
            <w:rStyle w:val="Hyperlink"/>
          </w:rPr>
          <w:t xml:space="preserve">LaLiga 2026</w:t>
        </w:r>
      </w:hyperlink>
      <w:r>
        <w:t xml:space="preserve">)</w:t>
      </w:r>
      <w:r>
        <w:t xml:space="preserve"> </w:t>
      </w:r>
      <w:r>
        <w:t xml:space="preserve">at a resolution that our CMU analysis shows to be sufficient (the ankle-speed peak precedes contact by about 20 ms, which changes the features by at most 2°), so combining the ball’s timestamp with broadcast pose should be a default rather than a refinement. The limits of the other remedies point to the same bottleneck: a correction learnt on air kicks made the errors of real ball kicks worse, and a lifter adapted to kicking under broadcast noise, which improved unseen air kicks in simulation and on real images, degraded the ball kicks. Models and corrections must therefore be trained and validated on football kicks with run-up and impact, filmed by broadcast cameras with synchronised 3D. Such data exist inside clubs and leagues, and the released protocol turns any such dataset into a validation benchmark.</w:t>
      </w:r>
    </w:p>
    <w:bookmarkEnd w:id="67"/>
    <w:bookmarkStart w:id="68" w:name="X6bc4b48da7a46e5587728d9124b017c3c97e3c1"/>
    <w:p>
      <w:pPr>
        <w:pStyle w:val="Heading2"/>
      </w:pPr>
      <w:r>
        <w:t xml:space="preserve">4.3 A joint-load score: measurable in the laboratory, not yet from television</w:t>
      </w:r>
    </w:p>
    <w:p>
      <w:pPr>
        <w:pStyle w:val="FirstParagraph"/>
      </w:pPr>
      <w:r>
        <w:t xml:space="preserve">The swing-leg model behaved as a load measure should: the KLI increased steeply with kick intensity, ball kicks loaded the hip flexors up to almost three times more than air kicks, and a slow kick had a fraction of the load of a full kick by the same player. Peak hip-flexor and knee moments are the mechanical counterpart of the eccentric demand on rectus femoris and iliopsoas in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score could not be recovered (λ ≈ 0.08), because inverse dynamics needs second derivatives that a 25-fps reconstruction does not contain. As measurement error attenuates any true association, an injury study would need about 48 kicking-related injuries with a laboratory-grade measurement but about 590 with today’s broadcast estimate — a study so long that squads, training and medical practice would change during it. Reliability must therefore be raised before any prospective injury study is attempted.</w:t>
      </w:r>
    </w:p>
    <w:bookmarkEnd w:id="68"/>
    <w:bookmarkStart w:id="69" w:name="practical-implications"/>
    <w:p>
      <w:pPr>
        <w:pStyle w:val="Heading2"/>
      </w:pPr>
      <w:r>
        <w:t xml:space="preserve">4.4 Practical implications</w:t>
      </w:r>
    </w:p>
    <w:p>
      <w:pPr>
        <w:pStyle w:val="FirstParagraph"/>
      </w:pPr>
      <w:r>
        <w:t xml:space="preserve">Within the limits below, our results suggest that single-camera broadcast estimates of leg angles, velocities or joint loads should not be used for decisions about individual players; that comparisons between players should fuse the available replays, anchor each kick to the ball’s contact time and use only variables shown fit for ranking; and that any vendor metric of technique or load should be accompanied by its agreement with motion capture under broadcast conditions.</w:t>
      </w:r>
    </w:p>
    <w:bookmarkEnd w:id="69"/>
    <w:bookmarkStart w:id="70"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injury incidence is an explicit assumption. The field example involves one recreational player and no reference, and its player size (about 200 px) is closer to a broadcast close-up than to a wide shot. We evaluated one detector and one lifter, which is why the benchmark is released.</w:t>
      </w:r>
    </w:p>
    <w:bookmarkEnd w:id="70"/>
    <w:bookmarkStart w:id="71" w:name="conclusions"/>
    <w:p>
      <w:pPr>
        <w:pStyle w:val="Heading2"/>
      </w:pPr>
      <w:r>
        <w:t xml:space="preserve">4.6 Conclusions</w:t>
      </w:r>
    </w:p>
    <w:p>
      <w:pPr>
        <w:pStyle w:val="FirstParagraph"/>
      </w:pPr>
      <w:r>
        <w:t xml:space="preserve">Broadcast detection error, about 10 % of a typical shooter’s height, is the bottleneck. With a published general-purpose lifter, no kicking variable measured from a single broadcast camera is fit for comparison with laboratory norms, ranking players or monitoring individuals; fusing replays, adapting the lifter and anchoring kicks to the ball’s contact time make a few variables usable for ranking or comparison with norms, but none for monitoring an individual. A swing-leg joint-load index is valid in the laboratory but not measurable from broadcast today, and validating it as an injury predictor would require football-specific data to raise its reliability first.</w:t>
      </w:r>
    </w:p>
    <w:bookmarkEnd w:id="71"/>
    <w:bookmarkEnd w:id="72"/>
    <w:bookmarkStart w:id="73"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The author thanks the BioMotion Lab (MoVi), the authors of 3DSP/AutoSoccerPose and SoccerNet, OpenMMLab (RTMW, YOLOX) and the authors of MotionAGFormer for releasing their data and models.</w:t>
      </w:r>
    </w:p>
    <w:bookmarkEnd w:id="73"/>
    <w:bookmarkStart w:id="74" w:name="author-contributions-credit"/>
    <w:p>
      <w:pPr>
        <w:pStyle w:val="Heading1"/>
      </w:pPr>
      <w:r>
        <w:t xml:space="preserve">Author contributions (CRediT)</w:t>
      </w:r>
    </w:p>
    <w:p>
      <w:pPr>
        <w:pStyle w:val="FirstParagraph"/>
      </w:pPr>
      <w:r>
        <w:t xml:space="preserve">Roberto Martín Gutiérrez: Conceptualization, Methodology, Software, Validation, Formal analysis, Investigation, Data curation, Visualization, Writing – original draft, Writing – review &amp; editing.</w:t>
      </w:r>
    </w:p>
    <w:bookmarkEnd w:id="74"/>
    <w:bookmarkStart w:id="75" w:name="funding"/>
    <w:p>
      <w:pPr>
        <w:pStyle w:val="Heading1"/>
      </w:pPr>
      <w:r>
        <w:t xml:space="preserve">Funding</w:t>
      </w:r>
    </w:p>
    <w:p>
      <w:pPr>
        <w:pStyle w:val="FirstParagraph"/>
      </w:pPr>
      <w:r>
        <w:t xml:space="preserve">No funding was obtained for this work.</w:t>
      </w:r>
    </w:p>
    <w:bookmarkEnd w:id="75"/>
    <w:bookmarkStart w:id="76"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6"/>
    <w:bookmarkStart w:id="77" w:name="declaration-of-generative-ai-use"/>
    <w:p>
      <w:pPr>
        <w:pStyle w:val="Heading1"/>
      </w:pPr>
      <w:r>
        <w:t xml:space="preserve">Declaration of generative AI use</w:t>
      </w:r>
    </w:p>
    <w:p>
      <w:pPr>
        <w:pStyle w:val="FirstParagraph"/>
      </w:pPr>
      <w:r>
        <w:t xml:space="preserve">The author conceived the study, defined its aims and scope, decided on the analyses proposed during the work, recorded the field example and interpreted the results. Generative AI (Claude, Anthropic, used through Claude Code) was used as an assistant, under the author’s direction, to write and run the analysis code, produce the figures, and draft, edit and translate the manuscript text. The author reviewed and verified all code, outputs and text and takes full responsibility for the content.</w:t>
      </w:r>
    </w:p>
    <w:bookmarkEnd w:id="77"/>
    <w:bookmarkStart w:id="78"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w:t>
      </w:r>
      <w:r>
        <w:t xml:space="preserve"> </w:t>
      </w:r>
      <w:r>
        <w:rPr>
          <w:b/>
          <w:bCs/>
        </w:rPr>
        <w:t xml:space="preserve">[PENDING: Zenodo DOI]</w:t>
      </w:r>
      <w:r>
        <w:t xml:space="preserve">. Per-participant results derived from MoVi cannot be redistributed under its licence but are regenerated by the released code. The field-example videos show the author and are available from him on request; the per-kick results are in the repository.</w:t>
      </w:r>
    </w:p>
    <w:bookmarkEnd w:id="78"/>
    <w:bookmarkStart w:id="79"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w:t>
      </w:r>
      <w:r>
        <w:t xml:space="preserve"> </w:t>
      </w:r>
      <w:r>
        <w:rPr>
          <w:b/>
          <w:bCs/>
        </w:rPr>
        <w:t xml:space="preserve">[PENDING: DOI]</w:t>
      </w:r>
      <w:r>
        <w:t xml:space="preserve">. The complete statistical outputs are provided as a supplementary file.</w:t>
      </w:r>
    </w:p>
    <w:bookmarkEnd w:id="79"/>
    <w:bookmarkStart w:id="80" w:name="data-deposition"/>
    <w:p>
      <w:pPr>
        <w:pStyle w:val="Heading1"/>
      </w:pPr>
      <w:r>
        <w:t xml:space="preserve">Data deposition</w:t>
      </w:r>
    </w:p>
    <w:p>
      <w:pPr>
        <w:pStyle w:val="FirstParagraph"/>
      </w:pPr>
      <w:r>
        <w:t xml:space="preserve">The broadcast residual bank and the aggregated results are deposited in Zenodo</w:t>
      </w:r>
      <w:r>
        <w:t xml:space="preserve"> </w:t>
      </w:r>
      <w:r>
        <w:rPr>
          <w:b/>
          <w:bCs/>
        </w:rPr>
        <w:t xml:space="preserve">[PENDING: DOI]</w:t>
      </w:r>
      <w:r>
        <w:t xml:space="preserve">.</w:t>
      </w:r>
    </w:p>
    <w:bookmarkEnd w:id="80"/>
    <w:bookmarkStart w:id="81"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81"/>
    <w:bookmarkStart w:id="175" w:name="references"/>
    <w:p>
      <w:pPr>
        <w:pStyle w:val="Heading1"/>
      </w:pPr>
      <w:r>
        <w:t xml:space="preserve">References</w:t>
      </w:r>
    </w:p>
    <w:bookmarkStart w:id="174" w:name="refs"/>
    <w:bookmarkStart w:id="83"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9"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r>
        <w:t xml:space="preserve"> </w:t>
      </w:r>
      <w:hyperlink r:id="rId118">
        <w:r>
          <w:rPr>
            <w:rStyle w:val="Hyperlink"/>
          </w:rPr>
          <w:t xml:space="preserve">https://pmc.ncbi.nlm.nih.gov/articles/PMC3786235</w:t>
        </w:r>
      </w:hyperlink>
      <w:r>
        <w:t xml:space="preserve">.</w:t>
      </w:r>
    </w:p>
    <w:bookmarkEnd w:id="119"/>
    <w:bookmarkStart w:id="121"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0">
        <w:r>
          <w:rPr>
            <w:rStyle w:val="Hyperlink"/>
          </w:rPr>
          <w:t xml:space="preserve">https://doi.org/10.48550/arXiv.2609.10498</w:t>
        </w:r>
      </w:hyperlink>
      <w:r>
        <w:t xml:space="preserve">.</w:t>
      </w:r>
    </w:p>
    <w:bookmarkEnd w:id="121"/>
    <w:bookmarkStart w:id="123"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2">
        <w:r>
          <w:rPr>
            <w:rStyle w:val="Hyperlink"/>
          </w:rPr>
          <w:t xml:space="preserve">https://doi.org/10.1016/j.jcm.2016.02.012</w:t>
        </w:r>
      </w:hyperlink>
      <w:r>
        <w:t xml:space="preserve">.</w:t>
      </w:r>
    </w:p>
    <w:bookmarkEnd w:id="123"/>
    <w:bookmarkStart w:id="125"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24">
        <w:r>
          <w:rPr>
            <w:rStyle w:val="Hyperlink"/>
          </w:rPr>
          <w:t xml:space="preserve">https://doi.org/10.1016/j.jclinepi.2010.03.002</w:t>
        </w:r>
      </w:hyperlink>
      <w:r>
        <w:t xml:space="preserve">.</w:t>
      </w:r>
    </w:p>
    <w:bookmarkEnd w:id="125"/>
    <w:bookmarkStart w:id="127"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6">
        <w:r>
          <w:rPr>
            <w:rStyle w:val="Hyperlink"/>
          </w:rPr>
          <w:t xml:space="preserve">https://doi.org/10.1177/1948550617697177</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32">
        <w:r>
          <w:rPr>
            <w:rStyle w:val="Hyperlink"/>
          </w:rPr>
          <w:t xml:space="preserve">https://doi.org/10.1016/j.gaitpost.2008.09.003</w:t>
        </w:r>
      </w:hyperlink>
      <w:r>
        <w:t xml:space="preserve">.</w:t>
      </w:r>
    </w:p>
    <w:bookmarkEnd w:id="133"/>
    <w:bookmarkStart w:id="135"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4">
        <w:r>
          <w:rPr>
            <w:rStyle w:val="Hyperlink"/>
          </w:rPr>
          <w:t xml:space="preserve">https://doi.org/10.1109/WACV57701.2024.00677</w:t>
        </w:r>
      </w:hyperlink>
      <w:r>
        <w:t xml:space="preserve">.</w:t>
      </w:r>
    </w:p>
    <w:bookmarkEnd w:id="135"/>
    <w:bookmarkStart w:id="137"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6">
        <w:r>
          <w:rPr>
            <w:rStyle w:val="Hyperlink"/>
          </w:rPr>
          <w:t xml:space="preserve">https://doi.org/10.1136/bjsports-2012-091250</w:t>
        </w:r>
      </w:hyperlink>
      <w:r>
        <w:t xml:space="preserve">.</w:t>
      </w:r>
    </w:p>
    <w:bookmarkEnd w:id="137"/>
    <w:bookmarkStart w:id="139"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8">
        <w:r>
          <w:rPr>
            <w:rStyle w:val="Hyperlink"/>
          </w:rPr>
          <w:t xml:space="preserve">https://doi.org/10.1038/s41598-021-00212-x</w:t>
        </w:r>
      </w:hyperlink>
      <w:r>
        <w:t xml:space="preserve">.</w:t>
      </w:r>
    </w:p>
    <w:bookmarkEnd w:id="139"/>
    <w:bookmarkStart w:id="141"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40">
        <w:r>
          <w:rPr>
            <w:rStyle w:val="Hyperlink"/>
          </w:rPr>
          <w:t xml:space="preserve">https://doi.org/10.1002/hbm.1058</w:t>
        </w:r>
      </w:hyperlink>
      <w:r>
        <w:t xml:space="preserve">.</w:t>
      </w:r>
    </w:p>
    <w:bookmarkEnd w:id="141"/>
    <w:bookmarkStart w:id="143"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42">
        <w:r>
          <w:rPr>
            <w:rStyle w:val="Hyperlink"/>
          </w:rPr>
          <w:t xml:space="preserve">https://doi.org/10.1109/ICCVW69036.2025.00287</w:t>
        </w:r>
      </w:hyperlink>
      <w:r>
        <w:t xml:space="preserve">.</w:t>
      </w:r>
    </w:p>
    <w:bookmarkEnd w:id="143"/>
    <w:bookmarkStart w:id="145"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4">
        <w:r>
          <w:rPr>
            <w:rStyle w:val="Hyperlink"/>
          </w:rPr>
          <w:t xml:space="preserve">https://doi.org/10.1097/00005768-200212000-00025</w:t>
        </w:r>
      </w:hyperlink>
      <w:r>
        <w:t xml:space="preserve">.</w:t>
      </w:r>
    </w:p>
    <w:bookmarkEnd w:id="145"/>
    <w:bookmarkStart w:id="147"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6">
        <w:r>
          <w:rPr>
            <w:rStyle w:val="Hyperlink"/>
          </w:rPr>
          <w:t xml:space="preserve">https://doi.org/10.3390/ijerph19031179</w:t>
        </w:r>
      </w:hyperlink>
      <w:r>
        <w:t xml:space="preserve">.</w:t>
      </w:r>
    </w:p>
    <w:bookmarkEnd w:id="147"/>
    <w:bookmarkStart w:id="149"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8">
        <w:r>
          <w:rPr>
            <w:rStyle w:val="Hyperlink"/>
          </w:rPr>
          <w:t xml:space="preserve">https://doi.org/10.1080/10255842.2010.527837</w:t>
        </w:r>
      </w:hyperlink>
      <w:r>
        <w:t xml:space="preserve">.</w:t>
      </w:r>
    </w:p>
    <w:bookmarkEnd w:id="149"/>
    <w:bookmarkStart w:id="151"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50">
        <w:r>
          <w:rPr>
            <w:rStyle w:val="Hyperlink"/>
          </w:rPr>
          <w:t xml:space="preserve">https://doi.org/10.1016/j.jbiomech.2015.02.051</w:t>
        </w:r>
      </w:hyperlink>
      <w:r>
        <w:t xml:space="preserve">.</w:t>
      </w:r>
    </w:p>
    <w:bookmarkEnd w:id="151"/>
    <w:bookmarkStart w:id="153"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52">
        <w:r>
          <w:rPr>
            <w:rStyle w:val="Hyperlink"/>
          </w:rPr>
          <w:t xml:space="preserve">https://doi.org/10.2307/2531021</w:t>
        </w:r>
      </w:hyperlink>
      <w:r>
        <w:t xml:space="preserve">.</w:t>
      </w:r>
    </w:p>
    <w:bookmarkEnd w:id="153"/>
    <w:bookmarkStart w:id="155"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54">
        <w:r>
          <w:rPr>
            <w:rStyle w:val="Hyperlink"/>
          </w:rPr>
          <w:t xml:space="preserve">https://doi.org/10.1007/BF01068419</w:t>
        </w:r>
      </w:hyperlink>
      <w:r>
        <w:t xml:space="preserve">.</w:t>
      </w:r>
    </w:p>
    <w:bookmarkEnd w:id="155"/>
    <w:bookmarkStart w:id="157"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6">
        <w:r>
          <w:rPr>
            <w:rStyle w:val="Hyperlink"/>
          </w:rPr>
          <w:t xml:space="preserve">https://doi.org/10.1136/bjsports-2018-099246</w:t>
        </w:r>
      </w:hyperlink>
      <w:r>
        <w:t xml:space="preserve">.</w:t>
      </w:r>
    </w:p>
    <w:bookmarkEnd w:id="157"/>
    <w:bookmarkStart w:id="159"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58">
        <w:r>
          <w:rPr>
            <w:rStyle w:val="Hyperlink"/>
          </w:rPr>
          <w:t xml:space="preserve">https://doi.org/10.1080/14763140508522852</w:t>
        </w:r>
      </w:hyperlink>
      <w:r>
        <w:t xml:space="preserve">.</w:t>
      </w:r>
    </w:p>
    <w:bookmarkEnd w:id="159"/>
    <w:bookmarkStart w:id="161"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60">
        <w:r>
          <w:rPr>
            <w:rStyle w:val="Hyperlink"/>
          </w:rPr>
          <w:t xml:space="preserve">https://doi.org/10.1037/0033-2909.86.2.420</w:t>
        </w:r>
      </w:hyperlink>
      <w:r>
        <w:t xml:space="preserve">.</w:t>
      </w:r>
    </w:p>
    <w:bookmarkEnd w:id="161"/>
    <w:bookmarkStart w:id="16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62">
        <w:r>
          <w:rPr>
            <w:rStyle w:val="Hyperlink"/>
          </w:rPr>
          <w:t xml:space="preserve">https://doi.org/10.1371/journal.pcbi.1011462</w:t>
        </w:r>
      </w:hyperlink>
      <w:r>
        <w:t xml:space="preserve">.</w:t>
      </w:r>
    </w:p>
    <w:bookmarkEnd w:id="163"/>
    <w:bookmarkStart w:id="165"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64">
        <w:r>
          <w:rPr>
            <w:rStyle w:val="Hyperlink"/>
          </w:rPr>
          <w:t xml:space="preserve">https://doi.org/10.1136/bjsports-2017-097796</w:t>
        </w:r>
      </w:hyperlink>
      <w:r>
        <w:t xml:space="preserve">.</w:t>
      </w:r>
    </w:p>
    <w:bookmarkEnd w:id="165"/>
    <w:bookmarkStart w:id="167"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6">
        <w:r>
          <w:rPr>
            <w:rStyle w:val="Hyperlink"/>
          </w:rPr>
          <w:t xml:space="preserve">https://doi.org/10.1136/bjsm.2009.066944</w:t>
        </w:r>
      </w:hyperlink>
      <w:r>
        <w:t xml:space="preserve">.</w:t>
      </w:r>
    </w:p>
    <w:bookmarkEnd w:id="167"/>
    <w:bookmarkStart w:id="169" w:name="ref-winter2009"/>
    <w:p>
      <w:pPr>
        <w:pStyle w:val="Bibliography"/>
      </w:pPr>
      <w:r>
        <w:t xml:space="preserve">Winter, David A. 2009.</w:t>
      </w:r>
      <w:r>
        <w:t xml:space="preserve"> </w:t>
      </w:r>
      <w:r>
        <w:rPr>
          <w:i/>
          <w:iCs/>
        </w:rPr>
        <w:t xml:space="preserve">Biomechanics and Motor Control of Human Movement</w:t>
      </w:r>
      <w:r>
        <w:t xml:space="preserve">. 4th ed. John Wiley &amp; Sons.</w:t>
      </w:r>
      <w:r>
        <w:t xml:space="preserve"> </w:t>
      </w:r>
      <w:hyperlink r:id="rId168">
        <w:r>
          <w:rPr>
            <w:rStyle w:val="Hyperlink"/>
          </w:rPr>
          <w:t xml:space="preserve">https://doi.org/10.1002/9780470549148</w:t>
        </w:r>
      </w:hyperlink>
      <w:r>
        <w:t xml:space="preserve">.</w:t>
      </w:r>
    </w:p>
    <w:bookmarkEnd w:id="169"/>
    <w:bookmarkStart w:id="171"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70">
        <w:r>
          <w:rPr>
            <w:rStyle w:val="Hyperlink"/>
          </w:rPr>
          <w:t xml:space="preserve">https://doi.org/10.1109/CVPRW63382.2024.00327</w:t>
        </w:r>
      </w:hyperlink>
      <w:r>
        <w:t xml:space="preserve">.</w:t>
      </w:r>
    </w:p>
    <w:bookmarkEnd w:id="171"/>
    <w:bookmarkStart w:id="173"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72">
        <w:r>
          <w:rPr>
            <w:rStyle w:val="Hyperlink"/>
          </w:rPr>
          <w:t xml:space="preserve">https://doi.org/10.1109/CVPRW67362.2025.00592</w:t>
        </w:r>
      </w:hyperlink>
      <w:r>
        <w:t xml:space="preserve">.</w:t>
      </w:r>
    </w:p>
    <w:bookmarkEnd w:id="173"/>
    <w:bookmarkEnd w:id="174"/>
    <w:bookmarkEnd w:id="175"/>
    <w:bookmarkStart w:id="216"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79"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77" name="Picture"/>
            <a:graphic>
              <a:graphicData uri="http://schemas.openxmlformats.org/drawingml/2006/picture">
                <pic:pic>
                  <pic:nvPicPr>
                    <pic:cNvPr descr="../../resultados/paper/fig2_contact.png" id="178" name="Picture"/>
                    <pic:cNvPicPr>
                      <a:picLocks noChangeArrowheads="1" noChangeAspect="1"/>
                    </pic:cNvPicPr>
                  </pic:nvPicPr>
                  <pic:blipFill>
                    <a:blip r:embed="rId176"/>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79"/>
    <w:bookmarkStart w:id="183"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81" name="Picture"/>
            <a:graphic>
              <a:graphicData uri="http://schemas.openxmlformats.org/drawingml/2006/picture">
                <pic:pic>
                  <pic:nvPicPr>
                    <pic:cNvPr descr="../../resultados/paper/figS2_intensity.png" id="182" name="Picture"/>
                    <pic:cNvPicPr>
                      <a:picLocks noChangeArrowheads="1" noChangeAspect="1"/>
                    </pic:cNvPicPr>
                  </pic:nvPicPr>
                  <pic:blipFill>
                    <a:blip r:embed="rId180"/>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83"/>
    <w:bookmarkStart w:id="187"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85" name="Picture"/>
            <a:graphic>
              <a:graphicData uri="http://schemas.openxmlformats.org/drawingml/2006/picture">
                <pic:pic>
                  <pic:nvPicPr>
                    <pic:cNvPr descr="../../resultados/paper/fig4_sensitivity.png" id="186" name="Picture"/>
                    <pic:cNvPicPr>
                      <a:picLocks noChangeArrowheads="1" noChangeAspect="1"/>
                    </pic:cNvPicPr>
                  </pic:nvPicPr>
                  <pic:blipFill>
                    <a:blip r:embed="rId184"/>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87"/>
    <w:bookmarkStart w:id="191"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89" name="Picture"/>
            <a:graphic>
              <a:graphicData uri="http://schemas.openxmlformats.org/drawingml/2006/picture">
                <pic:pic>
                  <pic:nvPicPr>
                    <pic:cNvPr descr="../../resultados/paper/figS1_sensitivity_cmu.png" id="190" name="Picture"/>
                    <pic:cNvPicPr>
                      <a:picLocks noChangeArrowheads="1" noChangeAspect="1"/>
                    </pic:cNvPicPr>
                  </pic:nvPicPr>
                  <pic:blipFill>
                    <a:blip r:embed="rId188"/>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91"/>
    <w:bookmarkStart w:id="195" w:name="figS:ablation"/>
    <w:p>
      <w:pPr>
        <w:pStyle w:val="CaptionedFigure"/>
      </w:pPr>
      <w:r>
        <w:drawing>
          <wp:inline>
            <wp:extent cx="5334000" cy="2270788"/>
            <wp:effectExtent b="0" l="0" r="0" t="0"/>
            <wp:docPr descr="Figure S5. Effect of (a) the 2D error model, (b) the frame rate and (c) knowing the contact instant, at 80 px." title="" id="193" name="Picture"/>
            <a:graphic>
              <a:graphicData uri="http://schemas.openxmlformats.org/drawingml/2006/picture">
                <pic:pic>
                  <pic:nvPicPr>
                    <pic:cNvPr descr="../../resultados/paper/fig5_ablation.png" id="194" name="Picture"/>
                    <pic:cNvPicPr>
                      <a:picLocks noChangeArrowheads="1" noChangeAspect="1"/>
                    </pic:cNvPicPr>
                  </pic:nvPicPr>
                  <pic:blipFill>
                    <a:blip r:embed="rId192"/>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95"/>
    <w:bookmarkStart w:id="199"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197" name="Picture"/>
            <a:graphic>
              <a:graphicData uri="http://schemas.openxmlformats.org/drawingml/2006/picture">
                <pic:pic>
                  <pic:nvPicPr>
                    <pic:cNvPr descr="../../resultados/paper/figS3_bland.png" id="198" name="Picture"/>
                    <pic:cNvPicPr>
                      <a:picLocks noChangeArrowheads="1" noChangeAspect="1"/>
                    </pic:cNvPicPr>
                  </pic:nvPicPr>
                  <pic:blipFill>
                    <a:blip r:embed="rId196"/>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199"/>
    <w:bookmarkStart w:id="203" w:name="figS:icc"/>
    <w:p>
      <w:pPr>
        <w:pStyle w:val="CaptionedFigure"/>
      </w:pPr>
      <w:r>
        <w:drawing>
          <wp:inline>
            <wp:extent cx="4267200" cy="2133600"/>
            <wp:effectExtent b="0" l="0" r="0" t="0"/>
            <wp:docPr descr="Figure S7. Between-player agreement, ICC(2,1), by feature and camera view (MoVi, 80 px, 25 fps, broadcast residuals, known contact)." title="" id="201" name="Picture"/>
            <a:graphic>
              <a:graphicData uri="http://schemas.openxmlformats.org/drawingml/2006/picture">
                <pic:pic>
                  <pic:nvPicPr>
                    <pic:cNvPr descr="../../resultados/paper/fig6_reliability.png" id="202" name="Picture"/>
                    <pic:cNvPicPr>
                      <a:picLocks noChangeArrowheads="1" noChangeAspect="1"/>
                    </pic:cNvPicPr>
                  </pic:nvPicPr>
                  <pic:blipFill>
                    <a:blip r:embed="rId200"/>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203"/>
    <w:bookmarkStart w:id="207"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205" name="Picture"/>
            <a:graphic>
              <a:graphicData uri="http://schemas.openxmlformats.org/drawingml/2006/picture">
                <pic:pic>
                  <pic:nvPicPr>
                    <pic:cNvPr descr="../../resultados/paper/fig10_finetune.png" id="206" name="Picture"/>
                    <pic:cNvPicPr>
                      <a:picLocks noChangeArrowheads="1" noChangeAspect="1"/>
                    </pic:cNvPicPr>
                  </pic:nvPicPr>
                  <pic:blipFill>
                    <a:blip r:embed="rId204"/>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07"/>
    <w:bookmarkStart w:id="211" w:name="figS:fieldviews"/>
    <w:p>
      <w:pPr>
        <w:pStyle w:val="CaptionedFigure"/>
      </w:pPr>
      <w:r>
        <w:drawing>
          <wp:inline>
            <wp:extent cx="5334000" cy="3501802"/>
            <wp:effectExtent b="0" l="0" r="0" t="0"/>
            <wp:docPr descr="Figure S9. Field example by camera view: strong (red) and soft (blue) kicks at native resolution (filled) and with the player downscaled to 80 px (open). Grey band: peak hip-flexor moment of the laboratory ball kicks (CMU)." title="" id="209" name="Picture"/>
            <a:graphic>
              <a:graphicData uri="http://schemas.openxmlformats.org/drawingml/2006/picture">
                <pic:pic>
                  <pic:nvPicPr>
                    <pic:cNvPr descr="../../resultados/paper/figS9_field_views.png" id="210" name="Picture"/>
                    <pic:cNvPicPr>
                      <a:picLocks noChangeArrowheads="1" noChangeAspect="1"/>
                    </pic:cNvPicPr>
                  </pic:nvPicPr>
                  <pic:blipFill>
                    <a:blip r:embed="rId208"/>
                    <a:stretch>
                      <a:fillRect/>
                    </a:stretch>
                  </pic:blipFill>
                  <pic:spPr bwMode="auto">
                    <a:xfrm>
                      <a:off x="0" y="0"/>
                      <a:ext cx="5334000" cy="3501802"/>
                    </a:xfrm>
                    <a:prstGeom prst="rect">
                      <a:avLst/>
                    </a:prstGeom>
                    <a:noFill/>
                    <a:ln w="9525">
                      <a:noFill/>
                      <a:headEnd/>
                      <a:tailEnd/>
                    </a:ln>
                  </pic:spPr>
                </pic:pic>
              </a:graphicData>
            </a:graphic>
          </wp:inline>
        </w:drawing>
      </w:r>
    </w:p>
    <w:p>
      <w:pPr>
        <w:pStyle w:val="ImageCaption"/>
      </w:pPr>
      <w:r>
        <w:t xml:space="preserve">Figure S9. Field example by camera view: strong (red) and soft (blue) kicks at native resolution (filled) and with the player downscaled to 80 px (open). Grey band: peak hip-flexor moment of the laboratory ball kicks (CMU).</w:t>
      </w:r>
    </w:p>
    <w:bookmarkEnd w:id="211"/>
    <w:bookmarkStart w:id="215" w:name="figS:fieldcompare"/>
    <w:p>
      <w:pPr>
        <w:pStyle w:val="CaptionedFigure"/>
      </w:pPr>
      <w:r>
        <w:drawing>
          <wp:inline>
            <wp:extent cx="4267200" cy="4882661"/>
            <wp:effectExtent b="0" l="0" r="0" t="0"/>
            <wp:docPr descr="Figure S10. Field example: strong versus soft kicks at the instant of peak hip-flexor load, lateral and diagonal-behind views. Colours as in Figure 8a; boxes: estimated net hip and knee moments." title="" id="213" name="Picture"/>
            <a:graphic>
              <a:graphicData uri="http://schemas.openxmlformats.org/drawingml/2006/picture">
                <pic:pic>
                  <pic:nvPicPr>
                    <pic:cNvPr descr="../../resultados/paper/figS10_field_compare.png" id="214" name="Picture"/>
                    <pic:cNvPicPr>
                      <a:picLocks noChangeArrowheads="1" noChangeAspect="1"/>
                    </pic:cNvPicPr>
                  </pic:nvPicPr>
                  <pic:blipFill>
                    <a:blip r:embed="rId212"/>
                    <a:stretch>
                      <a:fillRect/>
                    </a:stretch>
                  </pic:blipFill>
                  <pic:spPr bwMode="auto">
                    <a:xfrm>
                      <a:off x="0" y="0"/>
                      <a:ext cx="4267200" cy="4882661"/>
                    </a:xfrm>
                    <a:prstGeom prst="rect">
                      <a:avLst/>
                    </a:prstGeom>
                    <a:noFill/>
                    <a:ln w="9525">
                      <a:noFill/>
                      <a:headEnd/>
                      <a:tailEnd/>
                    </a:ln>
                  </pic:spPr>
                </pic:pic>
              </a:graphicData>
            </a:graphic>
          </wp:inline>
        </w:drawing>
      </w:r>
    </w:p>
    <w:p>
      <w:pPr>
        <w:pStyle w:val="ImageCaption"/>
      </w:pPr>
      <w:r>
        <w:t xml:space="preserve">Figure S10. Field example: strong versus soft kicks at the instant of peak hip-flexor load, lateral and diagonal-behind views. Colours as in Figure 8a; boxes: estimated net hip and knee moments.</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6" Target="media/rId176.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2" Target="media/rId212.png" /><Relationship Type="http://schemas.openxmlformats.org/officeDocument/2006/relationships/image" Id="rId188" Target="media/rId188.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8" Target="media/rId208.png" /><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2026-10-17T16:31:22Z</dcterms:created>
  <dcterms:modified xsi:type="dcterms:W3CDTF">2026-10-17T16:31:22Z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