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5.347.</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y el elevador publicado,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Las grabaciones con móvil de golpeos reales reprodujeron estos patrones.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por encima del mínimo de 30 muestras heterogéneas recomendado para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5"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con vídeo utilizable × 2 cámaras),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(0,749; 0,61–0,85) y las dos inclinaciones del tronco coincidieron con los valores de laboratorio dentro de 5°. Con el elevador adaptado bastó una sola cámara simulada para que la flexión máxima de la rodilla de golpeo y la inclinación lateral del tronco sirvieran para ordenar jugadores, y en vídeo real a 80 px el rango de movimiento de la cadera de golpeo pasó a servir para ordenar (CCI 0,76; 0,68–0,83); con el elevador oficial, en vídeo real solo la inclinación lateral del tronco cumplió un criterio (comparar con normas; EAM 3,8°). Ninguna variable, en ninguna condición, permitió seguir a un jugador (errores aleatorios de 2,7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Cada celda indica los usos que se cumplen y, entre paréntesis, el EAM (° o N·m/kg) y el CCI(2,1); «—»: no se cumple ningún uso.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3"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1" name="Picture"/>
            <a:graphic>
              <a:graphicData uri="http://schemas.openxmlformats.org/drawingml/2006/picture">
                <pic:pic>
                  <pic:nvPicPr>
                    <pic:cNvPr descr="../../resultados/paper_es/fig11_field.png" id="62" name="Picture"/>
                    <pic:cNvPicPr>
                      <a:picLocks noChangeArrowheads="1" noChangeAspect="1"/>
                    </pic:cNvPicPr>
                  </pic:nvPicPr>
                  <pic:blipFill>
                    <a:blip r:embed="rId60"/>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3"/>
    <w:bookmarkEnd w:id="64"/>
    <w:bookmarkEnd w:id="65"/>
    <w:bookmarkStart w:id="72" w:name="discusión"/>
    <w:p>
      <w:pPr>
        <w:pStyle w:val="Heading1"/>
      </w:pPr>
      <w:r>
        <w:t xml:space="preserve">4. Discusión</w:t>
      </w:r>
    </w:p>
    <w:bookmarkStart w:id="66"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(errores aleatorios de al menos 2,7 veces el cambio mínimo relevante). Por último, un ruido gaussiano de la magnitud correcta exageró los errores hasta 1,8 veces, así que los estudios de simulación de biomecánica con vídeo deberían usar secuencias de residuos reales o, mejor, comprobarse con imágenes reales, como hizo nuestro gemelo digital. El ejemplo de campo reprodujo estos patrones en golpeos reales de balón filmados con un móvil: la intensidad del golpeo se vio en la velocidad del tobillo y en la postura desde las tomas lateral y diagonal trasera, pero no de frente, y las cargas de la dinámica inversa salieron inverosímiles.</w:t>
      </w:r>
    </w:p>
    <w:bookmarkEnd w:id="66"/>
    <w:bookmarkStart w:id="67"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 y un elevador adaptado al golpeo con ruido de retransmisión, que mejoró los golpeos al aire no vistos en simulación y con imagen real, empeoró los golpeos de balón.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7"/>
    <w:bookmarkStart w:id="68"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8"/>
    <w:bookmarkStart w:id="69"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9"/>
    <w:bookmarkStart w:id="70"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0"/>
    <w:bookmarkStart w:id="71"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 elevador publicado de propósito general, ninguna variable del golpeo medida con una sola cámara de retransmisión sirve para comparar con normas de laboratorio, ordenar jugadores o seguir a un jugador; fusionar las repeticiones, adaptar el elevador y anclar el golpeo al instante de contacto del balón hacen utilizables unas pocas variables para ordenar o para comparar con normas, pero ninguna para seguir a un jugador. Un índice de carga articular de la pierna de golpeo es válido en laboratorio, pero hoy no se puede medir desde la retransmisión, y validarlo como predictor de lesiones exigiría antes subir su fiabilidad con datos propios del fútbol.</w:t>
      </w:r>
    </w:p>
    <w:bookmarkEnd w:id="71"/>
    <w:bookmarkEnd w:id="72"/>
    <w:bookmarkStart w:id="73"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3"/>
    <w:bookmarkStart w:id="74"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4"/>
    <w:bookmarkStart w:id="75" w:name="financiación"/>
    <w:p>
      <w:pPr>
        <w:pStyle w:val="Heading1"/>
      </w:pPr>
      <w:r>
        <w:t xml:space="preserve">Financiación</w:t>
      </w:r>
    </w:p>
    <w:p>
      <w:pPr>
        <w:pStyle w:val="FirstParagraph"/>
      </w:pPr>
      <w:r>
        <w:t xml:space="preserve">Este trabajo no recibió financiación.</w:t>
      </w:r>
    </w:p>
    <w:bookmarkEnd w:id="75"/>
    <w:bookmarkStart w:id="76"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6"/>
    <w:bookmarkStart w:id="77" w:name="declaración-de-uso-de-ia-generativa"/>
    <w:p>
      <w:pPr>
        <w:pStyle w:val="Heading1"/>
      </w:pPr>
      <w:r>
        <w:t xml:space="preserve">Declaración de uso de IA generativa</w:t>
      </w:r>
    </w:p>
    <w:p>
      <w:pPr>
        <w:pStyle w:val="FirstParagraph"/>
      </w:pPr>
      <w:r>
        <w:t xml:space="preserve">El autor concibió el estudio, definió sus objetivos y su alcance, decidió los análisis propuestos durante el trabajo, grabó el ejemplo de campo e interpretó los resultados. Se usó IA generativa (Claude, de Anthropic, mediante Claude Code) como asistente, bajo la dirección del autor, para escribir y ejecutar el código de análisis, producir las figuras y redactar, editar y traducir el texto del manuscrito. El autor revisó y verificó todo el código, los resultados y el texto, y asume toda la responsabilidad del contenido.</w:t>
      </w:r>
    </w:p>
    <w:bookmarkEnd w:id="77"/>
    <w:bookmarkStart w:id="78"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78"/>
    <w:bookmarkStart w:id="79"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9"/>
    <w:bookmarkStart w:id="80"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80"/>
    <w:bookmarkStart w:id="81"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1"/>
    <w:bookmarkStart w:id="175" w:name="referencias"/>
    <w:p>
      <w:pPr>
        <w:pStyle w:val="Heading1"/>
      </w:pPr>
      <w:r>
        <w:t xml:space="preserve">Referencias</w:t>
      </w:r>
    </w:p>
    <w:bookmarkStart w:id="174" w:name="refs"/>
    <w:bookmarkStart w:id="83"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9"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7" name="Picture"/>
            <a:graphic>
              <a:graphicData uri="http://schemas.openxmlformats.org/drawingml/2006/picture">
                <pic:pic>
                  <pic:nvPicPr>
                    <pic:cNvPr descr="../../resultados/paper_es/fig2_contact.png" id="178" name="Picture"/>
                    <pic:cNvPicPr>
                      <a:picLocks noChangeArrowheads="1" noChangeAspect="1"/>
                    </pic:cNvPicPr>
                  </pic:nvPicPr>
                  <pic:blipFill>
                    <a:blip r:embed="rId176"/>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9"/>
    <w:bookmarkStart w:id="183"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1" name="Picture"/>
            <a:graphic>
              <a:graphicData uri="http://schemas.openxmlformats.org/drawingml/2006/picture">
                <pic:pic>
                  <pic:nvPicPr>
                    <pic:cNvPr descr="../../resultados/paper_es/figS2_intensity.png" id="182" name="Picture"/>
                    <pic:cNvPicPr>
                      <a:picLocks noChangeArrowheads="1" noChangeAspect="1"/>
                    </pic:cNvPicPr>
                  </pic:nvPicPr>
                  <pic:blipFill>
                    <a:blip r:embed="rId180"/>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3"/>
    <w:bookmarkStart w:id="187"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5" name="Picture"/>
            <a:graphic>
              <a:graphicData uri="http://schemas.openxmlformats.org/drawingml/2006/picture">
                <pic:pic>
                  <pic:nvPicPr>
                    <pic:cNvPr descr="../../resultados/paper_es/fig4_sensitivity.png" id="186" name="Picture"/>
                    <pic:cNvPicPr>
                      <a:picLocks noChangeArrowheads="1" noChangeAspect="1"/>
                    </pic:cNvPicPr>
                  </pic:nvPicPr>
                  <pic:blipFill>
                    <a:blip r:embed="rId184"/>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7"/>
    <w:bookmarkStart w:id="191"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9" name="Picture"/>
            <a:graphic>
              <a:graphicData uri="http://schemas.openxmlformats.org/drawingml/2006/picture">
                <pic:pic>
                  <pic:nvPicPr>
                    <pic:cNvPr descr="../../resultados/paper_es/figS1_sensitivity_cmu.png" id="190" name="Picture"/>
                    <pic:cNvPicPr>
                      <a:picLocks noChangeArrowheads="1" noChangeAspect="1"/>
                    </pic:cNvPicPr>
                  </pic:nvPicPr>
                  <pic:blipFill>
                    <a:blip r:embed="rId188"/>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1"/>
    <w:bookmarkStart w:id="195"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3" name="Picture"/>
            <a:graphic>
              <a:graphicData uri="http://schemas.openxmlformats.org/drawingml/2006/picture">
                <pic:pic>
                  <pic:nvPicPr>
                    <pic:cNvPr descr="../../resultados/paper_es/fig5_ablation.png" id="194" name="Picture"/>
                    <pic:cNvPicPr>
                      <a:picLocks noChangeArrowheads="1" noChangeAspect="1"/>
                    </pic:cNvPicPr>
                  </pic:nvPicPr>
                  <pic:blipFill>
                    <a:blip r:embed="rId192"/>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5"/>
    <w:bookmarkStart w:id="199"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7" name="Picture"/>
            <a:graphic>
              <a:graphicData uri="http://schemas.openxmlformats.org/drawingml/2006/picture">
                <pic:pic>
                  <pic:nvPicPr>
                    <pic:cNvPr descr="../../resultados/paper_es/figS3_bland.png" id="198" name="Picture"/>
                    <pic:cNvPicPr>
                      <a:picLocks noChangeArrowheads="1" noChangeAspect="1"/>
                    </pic:cNvPicPr>
                  </pic:nvPicPr>
                  <pic:blipFill>
                    <a:blip r:embed="rId196"/>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9"/>
    <w:bookmarkStart w:id="203"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1" name="Picture"/>
            <a:graphic>
              <a:graphicData uri="http://schemas.openxmlformats.org/drawingml/2006/picture">
                <pic:pic>
                  <pic:nvPicPr>
                    <pic:cNvPr descr="../../resultados/paper_es/fig6_reliability.png" id="202" name="Picture"/>
                    <pic:cNvPicPr>
                      <a:picLocks noChangeArrowheads="1" noChangeAspect="1"/>
                    </pic:cNvPicPr>
                  </pic:nvPicPr>
                  <pic:blipFill>
                    <a:blip r:embed="rId200"/>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3"/>
    <w:bookmarkStart w:id="207"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5" name="Picture"/>
            <a:graphic>
              <a:graphicData uri="http://schemas.openxmlformats.org/drawingml/2006/picture">
                <pic:pic>
                  <pic:nvPicPr>
                    <pic:cNvPr descr="../../resultados/paper_es/fig10_finetune.png" id="206" name="Picture"/>
                    <pic:cNvPicPr>
                      <a:picLocks noChangeArrowheads="1" noChangeAspect="1"/>
                    </pic:cNvPicPr>
                  </pic:nvPicPr>
                  <pic:blipFill>
                    <a:blip r:embed="rId204"/>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7"/>
    <w:bookmarkStart w:id="211"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09" name="Picture"/>
            <a:graphic>
              <a:graphicData uri="http://schemas.openxmlformats.org/drawingml/2006/picture">
                <pic:pic>
                  <pic:nvPicPr>
                    <pic:cNvPr descr="../../resultados/paper_es/figS9_field_views.png" id="210" name="Picture"/>
                    <pic:cNvPicPr>
                      <a:picLocks noChangeArrowheads="1" noChangeAspect="1"/>
                    </pic:cNvPicPr>
                  </pic:nvPicPr>
                  <pic:blipFill>
                    <a:blip r:embed="rId208"/>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1"/>
    <w:bookmarkStart w:id="215"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3" name="Picture"/>
            <a:graphic>
              <a:graphicData uri="http://schemas.openxmlformats.org/drawingml/2006/picture">
                <pic:pic>
                  <pic:nvPicPr>
                    <pic:cNvPr descr="../../resultados/paper_es/figS10_field_compare.png" id="214" name="Picture"/>
                    <pic:cNvPicPr>
                      <a:picLocks noChangeArrowheads="1" noChangeAspect="1"/>
                    </pic:cNvPicPr>
                  </pic:nvPicPr>
                  <pic:blipFill>
                    <a:blip r:embed="rId212"/>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2026-10-17T16:31:23Z</dcterms:created>
  <dcterms:modified xsi:type="dcterms:W3CDTF">2026-10-17T16:31:23Z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