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rPr>
          <w:b/>
          <w:bCs/>
        </w:rPr>
        <w:t xml:space="preserve">[PENDING: submission date]</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literature-based acceptability criteria for any of the three uses. The detector error on 200 Premier League shots was 7.6–12.9 % of player height.</w:t>
      </w:r>
    </w:p>
    <w:p>
      <w:pPr>
        <w:pStyle w:val="Compact"/>
        <w:numPr>
          <w:ilvl w:val="0"/>
          <w:numId w:val="1001"/>
        </w:numPr>
      </w:pPr>
      <w:r>
        <w:t xml:space="preserve">Fusing the replay angles a broadcast already shows, with a laboratory-learnt correction, made kicking-knee flexion acceptable for ranking players and trunk leans comparable with laboratory norms. Knowing the contact instant, as the connected ball provides, reduced errors by a quarter; frame rate did not matter.</w:t>
      </w:r>
    </w:p>
    <w:p>
      <w:pPr>
        <w:pStyle w:val="Compact"/>
        <w:numPr>
          <w:ilvl w:val="0"/>
          <w:numId w:val="1001"/>
        </w:numPr>
      </w:pPr>
      <w:r>
        <w:t xml:space="preserve">A swing-leg Kick Load Index was valid in the laboratory but not recoverable from broadcast-like video. Validating it as an injury predictor would therefore need about 590 kicking-related injuries, 12–24 seasons of the whole league, against 48 with a laboratory-grade measurement — a quantitative argument for raising measurement reliability before any prospective injury study.</w:t>
      </w:r>
    </w:p>
    <w:p>
      <w:pPr>
        <w:pStyle w:val="FirstParagraph"/>
      </w:pPr>
      <w:r>
        <w:t xml:space="preserve">The methods were chosen to support these conclusions without overstating them. Ground truth comes from optical motion capture of 90 kicks, and the error model is the real detector error measured on broadcast shots, not idealised noise. The simulation is tested against real video with synchronised capture and a per-recording digital twin (r = 0.84). Agreement is reported following GRRAS, with equivalence tests and statistical parametric mapping. A field example with the author’s own ball kicks filmed by smartphone shows the same patterns on real football kicks. Limitations are stated explicitly, in particular that most reference kicks are laboratory air kicks. All code and the broadcast residual bank are openly available (https://github.com/convderover/broadcast-kick-biomechanics; Zenodo DOI</w:t>
      </w:r>
      <w:r>
        <w:t xml:space="preserve"> </w:t>
      </w:r>
      <w:r>
        <w:rPr>
          <w:b/>
          <w:bCs/>
        </w:rPr>
        <w:t xml:space="preserve">[PENDING]</w:t>
      </w:r>
      <w:r>
        <w:t xml:space="preserve">), and the complete statistical outputs and the GRRAS checklist are provided as supplementary files.</w:t>
      </w:r>
    </w:p>
    <w:p>
      <w:pPr>
        <w:pStyle w:val="BodyText"/>
      </w:pPr>
      <w:r>
        <w:t xml:space="preserve">In line with Taylor &amp; Francis policy, a preprint of this manuscript has been posted on SportRxiv (DOI</w:t>
      </w:r>
      <w:r>
        <w:t xml:space="preserve"> </w:t>
      </w:r>
      <w:r>
        <w:rPr>
          <w:b/>
          <w:bCs/>
        </w:rPr>
        <w:t xml:space="preserve">[PENDING]</w:t>
      </w:r>
      <w:r>
        <w:t xml:space="preserve">). The study is a secondary analysis of public datasets and was not pre-registered. The use of generative AI as an assistant for code, analysis, figures and drafting is declared in the manuscript.</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2026-10-17T15:37:59Z</dcterms:created>
  <dcterms:modified xsi:type="dcterms:W3CDTF">2026-10-17T15:37:59Z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[PENDING: submission date]</vt:lpwstr>
  </property>
</Properties>
</file>