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 Google Advertising Managers to Japan — Model-Grounded Training Report</w:t>
      </w:r>
    </w:p>
    <w:p>
      <w:pPr>
        <w:pStyle w:val="Subtitle"/>
      </w:pPr>
      <w:r>
        <w:t xml:space="preserve">Hofstede, Hall, Trompenaars, and World Values Survey / Inglehart-Welzel</w:t>
      </w:r>
    </w:p>
    <w:p>
      <w:pPr>
        <w:pStyle w:val="Author"/>
      </w:pPr>
      <w:r>
        <w:t xml:space="preserve">Intercultural Competence and Diversity Training</w:t>
      </w:r>
    </w:p>
    <w:p>
      <w:pPr>
        <w:pStyle w:val="Date"/>
      </w:pPr>
      <w:r>
        <w:t xml:space="preserve">June 2026</w:t>
      </w:r>
    </w:p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trains managers from a</w:t>
      </w:r>
      <w:r>
        <w:t xml:space="preserve"> </w:t>
      </w:r>
      <w:r>
        <w:rPr>
          <w:b/>
          <w:bCs/>
        </w:rPr>
        <w:t xml:space="preserve">United States Google Advertising organization</w:t>
      </w:r>
      <w:r>
        <w:t xml:space="preserve"> </w:t>
      </w:r>
      <w:r>
        <w:t xml:space="preserve">who are being sent to</w:t>
      </w:r>
      <w:r>
        <w:t xml:space="preserve"> </w:t>
      </w:r>
      <w:r>
        <w:rPr>
          <w:b/>
          <w:bCs/>
        </w:rPr>
        <w:t xml:space="preserve">Japan</w:t>
      </w:r>
      <w:r>
        <w:t xml:space="preserve">. The sector is digital advertising platform sales: managers sell advertising space, audience access, bidding, measurement, and platform advertising solutions. Advertisers remain responsible for their end-to-end creative and media execution.</w:t>
      </w:r>
    </w:p>
    <w:p>
      <w:pPr>
        <w:pStyle w:val="BodyText"/>
      </w:pPr>
      <w:r>
        <w:t xml:space="preserve">The analysis is deliberately grounded in the four required cultural models only: Hofstede, Hall, Trompenaars, and the World Values Survey / Inglehart-Welzel cultural map. The models do not define individuals. They provide structured hypotheses for preparation, comparison, risk identification, and guideline development.</w:t>
      </w:r>
    </w:p>
    <w:p>
      <w:pPr>
        <w:pStyle w:val="BodyText"/>
      </w:pPr>
      <w:r>
        <w:t xml:space="preserve">The core recommendation is:</w:t>
      </w:r>
      <w:r>
        <w:t xml:space="preserve"> </w:t>
      </w:r>
      <w:r>
        <w:rPr>
          <w:b/>
          <w:bCs/>
        </w:rPr>
        <w:t xml:space="preserve">make US speed legible as Japanese-quality control</w:t>
      </w:r>
      <w:r>
        <w:t xml:space="preserve">. In practice this means pre-alignment before formal meetings, explicit risk boundaries, hierarchy-aware communication, private concern channels, and long-term trust/reputation framing.</w:t>
      </w:r>
    </w:p>
    <w:bookmarkEnd w:id="9"/>
    <w:bookmarkStart w:id="10" w:name="home-culture-and-sector"/>
    <w:p>
      <w:pPr>
        <w:pStyle w:val="Heading1"/>
      </w:pPr>
      <w:r>
        <w:t xml:space="preserve">1. Home culture and sector</w:t>
      </w:r>
    </w:p>
    <w:p>
      <w:pPr>
        <w:pStyle w:val="FirstParagraph"/>
      </w:pPr>
      <w:r>
        <w:t xml:space="preserve">The home culture is the</w:t>
      </w:r>
      <w:r>
        <w:t xml:space="preserve"> </w:t>
      </w:r>
      <w:r>
        <w:rPr>
          <w:b/>
          <w:bCs/>
        </w:rPr>
        <w:t xml:space="preserve">United States</w:t>
      </w:r>
      <w:r>
        <w:t xml:space="preserve">. The sector is</w:t>
      </w:r>
      <w:r>
        <w:t xml:space="preserve"> </w:t>
      </w:r>
      <w:r>
        <w:rPr>
          <w:b/>
          <w:bCs/>
        </w:rPr>
        <w:t xml:space="preserve">advertising platform sales</w:t>
      </w:r>
      <w:r>
        <w:t xml:space="preserve"> </w:t>
      </w:r>
      <w:r>
        <w:t xml:space="preserve">inside Google Advertising. The relevant management task is not campaign development for advertisers but the sale and support of platform advertising solutions.</w:t>
      </w:r>
    </w:p>
    <w:p>
      <w:pPr>
        <w:pStyle w:val="BodyText"/>
      </w:pPr>
      <w:r>
        <w:t xml:space="preserve">The US-side operating style is likely to include explicit communication, direct action orientation, lower tolerance for unclear ownership, and a preference for measurable next steps. These are model-based tendencies, not universal descriptions of every US manager.</w:t>
      </w:r>
    </w:p>
    <w:bookmarkEnd w:id="10"/>
    <w:bookmarkStart w:id="15" w:name="Xcb2993d7510fb4b3f948cbb4a75dedc1d507152"/>
    <w:p>
      <w:pPr>
        <w:pStyle w:val="Heading1"/>
      </w:pPr>
      <w:r>
        <w:t xml:space="preserve">2. Applying the models to the home culture: United States</w:t>
      </w:r>
    </w:p>
    <w:bookmarkStart w:id="11" w:name="hofstede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In Hofstede’s model, the United States is commonly interpreted as lower in power distance than many hierarchical business cultures, highly individualistic, relatively lower in uncertainty avoidance than Japan, and more indulgent/self-expressive. For managers, this supports expectations of accessible leadership, personal accountability, debate, and experimentation.</w:t>
      </w:r>
    </w:p>
    <w:bookmarkEnd w:id="11"/>
    <w:bookmarkStart w:id="12" w:name="hall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Hall’s model frames the United States as relatively low-context: meaning is expected to be explicit in words, agendas, commitments, written summaries, and direct disagreement. This supports speed, but can under-read silence or indirect concern in Japan.</w:t>
      </w:r>
    </w:p>
    <w:bookmarkEnd w:id="12"/>
    <w:bookmarkStart w:id="13" w:name="trompenaars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Using Trompenaars, the US side can be read as more universalist, specific, achievement-oriented, sequential-time oriented, and internal-control oriented. Managers may expect rules, expertise, metrics, and clear ownership to be enough to move work forward.</w:t>
      </w:r>
    </w:p>
    <w:bookmarkEnd w:id="13"/>
    <w:bookmarkStart w:id="14" w:name="world-values-survey-inglehart-welzel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The WVS lens places the United States among advanced societies with strong self-expression and voice expectations. In management terms, US managers may assume that speaking up publicly, disagreeing openly, and showing individual initiative are positive norms.</w:t>
      </w:r>
    </w:p>
    <w:bookmarkEnd w:id="14"/>
    <w:bookmarkEnd w:id="15"/>
    <w:bookmarkStart w:id="16" w:name="host-culture-selection"/>
    <w:p>
      <w:pPr>
        <w:pStyle w:val="Heading1"/>
      </w:pPr>
      <w:r>
        <w:t xml:space="preserve">3. Host culture selection</w:t>
      </w:r>
    </w:p>
    <w:p>
      <w:pPr>
        <w:pStyle w:val="FirstParagraph"/>
      </w:pPr>
      <w:r>
        <w:t xml:space="preserve">The host culture is</w:t>
      </w:r>
      <w:r>
        <w:t xml:space="preserve"> </w:t>
      </w:r>
      <w:r>
        <w:rPr>
          <w:b/>
          <w:bCs/>
        </w:rPr>
        <w:t xml:space="preserve">Japan</w:t>
      </w:r>
      <w:r>
        <w:t xml:space="preserve">. The business context is Japanese corporate and client-facing advertising platform work. The managers will interact with Google Japan colleagues, agencies, clients, and senior stakeholders in a Japan-based commercial environment.</w:t>
      </w:r>
    </w:p>
    <w:bookmarkEnd w:id="16"/>
    <w:bookmarkStart w:id="21" w:name="X43c4e18631c7a750cb93fe3db635749fb0924b1"/>
    <w:p>
      <w:pPr>
        <w:pStyle w:val="Heading1"/>
      </w:pPr>
      <w:r>
        <w:t xml:space="preserve">4. Applying the models to the host culture: Japan</w:t>
      </w:r>
    </w:p>
    <w:bookmarkStart w:id="17" w:name="hofstede-1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Japan is commonly interpreted as higher than the United States in uncertainty avoidance and long-term orientation, more hierarchy-conscious, and strongly achievement-oriented. The manager implication is that preparation, precision, stakeholder approval, quality, risk control, and reputation protection matter strongly before a proposal or platform pilot is accepted.</w:t>
      </w:r>
    </w:p>
    <w:bookmarkEnd w:id="17"/>
    <w:bookmarkStart w:id="18" w:name="hall-1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Japan is commonly used as a high-context comparison case. Meaning may be carried through silence, hesitation, relationship history, role, seniority, and indirect phrasing. A phrase such as “that may be difficult” can signal stronger reservation than the literal wording suggests.</w:t>
      </w:r>
    </w:p>
    <w:bookmarkEnd w:id="18"/>
    <w:bookmarkStart w:id="19" w:name="trompenaars-1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Japan can be read as more context-sensitive in implementation: rules matter, but role, relationship, status, obligation, and face affect how rules are introduced and executed. A global policy can be correct and still fail socially if it ignores hierarchy or face.</w:t>
      </w:r>
    </w:p>
    <w:bookmarkEnd w:id="19"/>
    <w:bookmarkStart w:id="20" w:name="world-values-survey-inglehart-welzel-1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Japan is a modern, advanced society, not a simplistic “traditional” opposite of the US. The WVS lens is useful because it shows that advanced societies still differ in authority, trust, restraint, self-expression, and public voice patterns.</w:t>
      </w:r>
    </w:p>
    <w:bookmarkEnd w:id="20"/>
    <w:bookmarkEnd w:id="21"/>
    <w:bookmarkStart w:id="26" w:name="thorough-comparison-between-the-cultures"/>
    <w:p>
      <w:pPr>
        <w:pStyle w:val="Heading1"/>
      </w:pPr>
      <w:r>
        <w:t xml:space="preserve">5. Thorough comparison between the cultures</w:t>
      </w:r>
    </w:p>
    <w:bookmarkStart w:id="22" w:name="hofstede-comparison"/>
    <w:p>
      <w:pPr>
        <w:pStyle w:val="Heading2"/>
      </w:pPr>
      <w:r>
        <w:t xml:space="preserve">Hofstede comparison</w:t>
      </w:r>
    </w:p>
    <w:p>
      <w:pPr>
        <w:pStyle w:val="FirstParagraph"/>
      </w:pPr>
      <w:r>
        <w:t xml:space="preserve">The strongest practical difference is uncertainty avoidance. US platform culture may normalize testing and optimization; Japanese stakeholders may need clearer safeguards before accepting a platform pilot or advertising-space recommendation. Japan’s higher long-term orientation also means that short-term performance arguments should be paired with trust, continuity, and reputation logic.</w:t>
      </w:r>
    </w:p>
    <w:bookmarkEnd w:id="22"/>
    <w:bookmarkStart w:id="23" w:name="hall-comparison"/>
    <w:p>
      <w:pPr>
        <w:pStyle w:val="Heading2"/>
      </w:pPr>
      <w:r>
        <w:t xml:space="preserve">Hall comparison</w:t>
      </w:r>
    </w:p>
    <w:p>
      <w:pPr>
        <w:pStyle w:val="FirstParagraph"/>
      </w:pPr>
      <w:r>
        <w:t xml:space="preserve">The US side expects explicit messages; the Japan side may encode meaning in context. Therefore, US managers must not treat silence as consent. They should ask concern-oriented questions and verify agreement privately when hierarchy is present.</w:t>
      </w:r>
    </w:p>
    <w:bookmarkEnd w:id="23"/>
    <w:bookmarkStart w:id="24" w:name="trompenaars-comparison"/>
    <w:p>
      <w:pPr>
        <w:pStyle w:val="Heading2"/>
      </w:pPr>
      <w:r>
        <w:t xml:space="preserve">Trompenaars comparison</w:t>
      </w:r>
    </w:p>
    <w:p>
      <w:pPr>
        <w:pStyle w:val="FirstParagraph"/>
      </w:pPr>
      <w:r>
        <w:t xml:space="preserve">US universalist/specific logic says: “the rule, owner, and KPI are clear.” Japan-sensitive implementation asks: “who must be aligned, how is face preserved, and how does the rule fit the relationship context?” This is not abandoning rules; it is making rules operational in context.</w:t>
      </w:r>
    </w:p>
    <w:bookmarkEnd w:id="24"/>
    <w:bookmarkStart w:id="25" w:name="wvs-inglehart-welzel-comparison"/>
    <w:p>
      <w:pPr>
        <w:pStyle w:val="Heading2"/>
      </w:pPr>
      <w:r>
        <w:t xml:space="preserve">WVS / Inglehart-Welzel comparison</w:t>
      </w:r>
    </w:p>
    <w:p>
      <w:pPr>
        <w:pStyle w:val="FirstParagraph"/>
      </w:pPr>
      <w:r>
        <w:t xml:space="preserve">The US assumption that public voice and autonomy are always safe may not transfer cleanly. In Japan, input may need structured channels: pre-reads, 1:1s, written comments, senior-sponsor alignment, or smaller meetings.</w:t>
      </w:r>
    </w:p>
    <w:bookmarkEnd w:id="25"/>
    <w:bookmarkEnd w:id="26"/>
    <w:bookmarkStart w:id="27" w:name="Xdc30686185f98a4ecf8aa0f509937089b7dfe2a"/>
    <w:p>
      <w:pPr>
        <w:pStyle w:val="Heading1"/>
      </w:pPr>
      <w:r>
        <w:t xml:space="preserve">6. Potential problem areas in this constellation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pilots feel under-controlled</w:t>
      </w:r>
      <w:r>
        <w:t xml:space="preserve">: Hofstede’s uncertainty avoidance lens predicts discomfort with vague test-and-learn proposals.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Indirect concerns are misread</w:t>
      </w:r>
      <w:r>
        <w:t xml:space="preserve">: Hall’s context lens predicts that US managers may miss reservation expressed indirectly.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Global rules are introduced too bluntly</w:t>
      </w:r>
      <w:r>
        <w:t xml:space="preserve">: Trompenaars predicts friction if universalist policy logic ignores role, relationship, and 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voice is requested in the wrong channel</w:t>
      </w:r>
      <w:r>
        <w:t xml:space="preserve">: WVS predicts that autonomy and disagreement need culturally safe expression channels.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Short-term performance framing is too narrow</w:t>
      </w:r>
      <w:r>
        <w:t xml:space="preserve">: Hofstede’s long-term orientation lens suggests the need to include reputation, continuity, and quality.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Corrective feedback is too direct or public</w:t>
      </w:r>
      <w:r>
        <w:t xml:space="preserve">: Hall and Hofstede together suggest that face and hierarchy must be protected.</w:t>
      </w:r>
    </w:p>
    <w:bookmarkEnd w:id="27"/>
    <w:bookmarkStart w:id="33" w:name="recommended-guideline"/>
    <w:p>
      <w:pPr>
        <w:pStyle w:val="Heading1"/>
      </w:pPr>
      <w:r>
        <w:t xml:space="preserve">7. Recommended guideline</w:t>
      </w:r>
    </w:p>
    <w:bookmarkStart w:id="28" w:name="operating-principle"/>
    <w:p>
      <w:pPr>
        <w:pStyle w:val="Heading2"/>
      </w:pPr>
      <w:r>
        <w:t xml:space="preserve">Operating principle</w:t>
      </w:r>
    </w:p>
    <w:p>
      <w:pPr>
        <w:pStyle w:val="FirstParagraph"/>
      </w:pPr>
      <w:r>
        <w:rPr>
          <w:b/>
          <w:bCs/>
        </w:rPr>
        <w:t xml:space="preserve">Make US speed legible as Japanese-quality control.</w:t>
      </w:r>
    </w:p>
    <w:bookmarkEnd w:id="28"/>
    <w:bookmarkStart w:id="29" w:name="before-the-meeting"/>
    <w:p>
      <w:pPr>
        <w:pStyle w:val="Heading2"/>
      </w:pPr>
      <w:r>
        <w:t xml:space="preserve">Before the meeting</w:t>
      </w:r>
    </w:p>
    <w:p>
      <w:pPr>
        <w:pStyle w:val="Compact"/>
        <w:numPr>
          <w:ilvl w:val="0"/>
          <w:numId w:val="1002"/>
        </w:numPr>
      </w:pPr>
      <w:r>
        <w:t xml:space="preserve">Map formal decision-makers, informal influencers, implementation owners, and risk holders.</w:t>
      </w:r>
    </w:p>
    <w:p>
      <w:pPr>
        <w:pStyle w:val="Compact"/>
        <w:numPr>
          <w:ilvl w:val="0"/>
          <w:numId w:val="1002"/>
        </w:numPr>
      </w:pPr>
      <w:r>
        <w:t xml:space="preserve">Send a pre-read that includes rationale, scope, risk boundary, quality checks, and questions for feedback.</w:t>
      </w:r>
    </w:p>
    <w:p>
      <w:pPr>
        <w:pStyle w:val="Compact"/>
        <w:numPr>
          <w:ilvl w:val="0"/>
          <w:numId w:val="1002"/>
        </w:numPr>
      </w:pPr>
      <w:r>
        <w:t xml:space="preserve">Identify where disagreement can surface safely.</w:t>
      </w:r>
    </w:p>
    <w:bookmarkEnd w:id="29"/>
    <w:bookmarkStart w:id="30" w:name="during-the-meeting"/>
    <w:p>
      <w:pPr>
        <w:pStyle w:val="Heading2"/>
      </w:pPr>
      <w:r>
        <w:t xml:space="preserve">During the meeting</w:t>
      </w:r>
    </w:p>
    <w:p>
      <w:pPr>
        <w:pStyle w:val="Compact"/>
        <w:numPr>
          <w:ilvl w:val="0"/>
          <w:numId w:val="1003"/>
        </w:numPr>
      </w:pPr>
      <w:r>
        <w:t xml:space="preserve">Listen for silence, hesitation, deferral, and indirect phrasing.</w:t>
      </w:r>
    </w:p>
    <w:p>
      <w:pPr>
        <w:pStyle w:val="Compact"/>
        <w:numPr>
          <w:ilvl w:val="0"/>
          <w:numId w:val="1003"/>
        </w:numPr>
      </w:pPr>
      <w:r>
        <w:t xml:space="preserve">Ask concern-based questions: “What risks should we resolve before moving forward?”</w:t>
      </w:r>
    </w:p>
    <w:p>
      <w:pPr>
        <w:pStyle w:val="Compact"/>
        <w:numPr>
          <w:ilvl w:val="0"/>
          <w:numId w:val="1003"/>
        </w:numPr>
      </w:pPr>
      <w:r>
        <w:t xml:space="preserve">Avoid forcing junior people to disagree publicly with senior people.</w:t>
      </w:r>
    </w:p>
    <w:bookmarkEnd w:id="30"/>
    <w:bookmarkStart w:id="31" w:name="after-the-meeting"/>
    <w:p>
      <w:pPr>
        <w:pStyle w:val="Heading2"/>
      </w:pPr>
      <w:r>
        <w:t xml:space="preserve">After the meeting</w:t>
      </w:r>
    </w:p>
    <w:p>
      <w:pPr>
        <w:pStyle w:val="Compact"/>
        <w:numPr>
          <w:ilvl w:val="0"/>
          <w:numId w:val="1004"/>
        </w:numPr>
      </w:pPr>
      <w:r>
        <w:t xml:space="preserve">Send a precise written summary.</w:t>
      </w:r>
    </w:p>
    <w:p>
      <w:pPr>
        <w:pStyle w:val="Compact"/>
        <w:numPr>
          <w:ilvl w:val="0"/>
          <w:numId w:val="1004"/>
        </w:numPr>
      </w:pPr>
      <w:r>
        <w:t xml:space="preserve">Confirm approval path, owners, reporting cadence, and fallback triggers.</w:t>
      </w:r>
    </w:p>
    <w:p>
      <w:pPr>
        <w:pStyle w:val="Compact"/>
        <w:numPr>
          <w:ilvl w:val="0"/>
          <w:numId w:val="1004"/>
        </w:numPr>
      </w:pPr>
      <w:r>
        <w:t xml:space="preserve">Treat platform pilots as controlled recommendations, not casual experiments.</w:t>
      </w:r>
    </w:p>
    <w:bookmarkEnd w:id="31"/>
    <w:bookmarkStart w:id="32" w:name="final-manager-checklist"/>
    <w:p>
      <w:pPr>
        <w:pStyle w:val="Heading2"/>
      </w:pPr>
      <w:r>
        <w:t xml:space="preserve">Final manager checklist</w:t>
      </w:r>
    </w:p>
    <w:p>
      <w:pPr>
        <w:pStyle w:val="Compact"/>
        <w:numPr>
          <w:ilvl w:val="0"/>
          <w:numId w:val="1005"/>
        </w:numPr>
      </w:pPr>
      <w:r>
        <w:t xml:space="preserve">Hofstede: Have we made uncertainty and risk controllable?</w:t>
      </w:r>
    </w:p>
    <w:p>
      <w:pPr>
        <w:pStyle w:val="Compact"/>
        <w:numPr>
          <w:ilvl w:val="0"/>
          <w:numId w:val="1005"/>
        </w:numPr>
      </w:pPr>
      <w:r>
        <w:t xml:space="preserve">Hall: Have we checked what was implied, not only what was said?</w:t>
      </w:r>
    </w:p>
    <w:p>
      <w:pPr>
        <w:pStyle w:val="Compact"/>
        <w:numPr>
          <w:ilvl w:val="0"/>
          <w:numId w:val="1005"/>
        </w:numPr>
      </w:pPr>
      <w:r>
        <w:t xml:space="preserve">Trompenaars: Have we introduced rules through the right role/context channel?</w:t>
      </w:r>
    </w:p>
    <w:p>
      <w:pPr>
        <w:pStyle w:val="Compact"/>
        <w:numPr>
          <w:ilvl w:val="0"/>
          <w:numId w:val="1005"/>
        </w:numPr>
      </w:pPr>
      <w:r>
        <w:t xml:space="preserve">WVS: Have we created safe ways for voice and disagreement?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Beugelsdijk, S., &amp; Welzel, C. (2018). Dimensions and dynamics of national culture: Synthesizing Hofstede with Inglehart.</w:t>
      </w:r>
      <w:r>
        <w:t xml:space="preserve"> </w:t>
      </w:r>
      <w:r>
        <w:rPr>
          <w:i/>
          <w:iCs/>
        </w:rPr>
        <w:t xml:space="preserve">Journal of Cross-Cultural Psychology, 49</w:t>
      </w:r>
      <w:r>
        <w:t xml:space="preserve">(10), 1469–1505. https://doi.org/10.1177/0022022118798505</w:t>
      </w:r>
    </w:p>
    <w:p>
      <w:pPr>
        <w:pStyle w:val="BodyText"/>
      </w:pPr>
      <w:r>
        <w:t xml:space="preserve">Hall, E. T. (1976).</w:t>
      </w:r>
      <w:r>
        <w:t xml:space="preserve"> </w:t>
      </w:r>
      <w:r>
        <w:rPr>
          <w:i/>
          <w:iCs/>
        </w:rPr>
        <w:t xml:space="preserve">Beyond culture</w:t>
      </w:r>
      <w:r>
        <w:t xml:space="preserve">. Anchor Books.</w:t>
      </w:r>
    </w:p>
    <w:p>
      <w:pPr>
        <w:pStyle w:val="BodyText"/>
      </w:pPr>
      <w:r>
        <w:t xml:space="preserve">Hofstede, G. (1983). The cultural relativity of organizational practices and theories.</w:t>
      </w:r>
      <w:r>
        <w:t xml:space="preserve"> </w:t>
      </w:r>
      <w:r>
        <w:rPr>
          <w:i/>
          <w:iCs/>
        </w:rPr>
        <w:t xml:space="preserve">Journal of International Business Studies, 14</w:t>
      </w:r>
      <w:r>
        <w:t xml:space="preserve">, 75–89. https://doi.org/10.1057/palgrave.jibs.8490867</w:t>
      </w:r>
    </w:p>
    <w:p>
      <w:pPr>
        <w:pStyle w:val="BodyText"/>
      </w:pPr>
      <w:r>
        <w:t xml:space="preserve">Hofstede, G. (1984). Cultural dimensions in management and planning.</w:t>
      </w:r>
      <w:r>
        <w:t xml:space="preserve"> </w:t>
      </w:r>
      <w:r>
        <w:rPr>
          <w:i/>
          <w:iCs/>
        </w:rPr>
        <w:t xml:space="preserve">Asia Pacific Journal of Management, 1</w:t>
      </w:r>
      <w:r>
        <w:t xml:space="preserve">, 81–99. https://doi.org/10.1007/BF01733682</w:t>
      </w:r>
    </w:p>
    <w:p>
      <w:pPr>
        <w:pStyle w:val="BodyText"/>
      </w:pPr>
      <w:r>
        <w:t xml:space="preserve">Nishimura, S., Nevgi, A., &amp; Tella, S. (2008). Communication style and cultural features in high/low context communication cultures: A case study of Finland, Japan and India. University of Helsinki.</w:t>
      </w:r>
    </w:p>
    <w:p>
      <w:pPr>
        <w:pStyle w:val="BodyText"/>
      </w:pPr>
      <w:r>
        <w:t xml:space="preserve">Smith, P. B., Peterson, M. F., Schwartz, S. H., &amp; Koopman, P. L. (2002). Cultural values, sources of guidance, and their relevance to managerial behavior: A 47 nation study.</w:t>
      </w:r>
      <w:r>
        <w:t xml:space="preserve"> </w:t>
      </w:r>
      <w:r>
        <w:rPr>
          <w:i/>
          <w:iCs/>
        </w:rPr>
        <w:t xml:space="preserve">Journal of Cross-Cultural Psychology, 33</w:t>
      </w:r>
      <w:r>
        <w:t xml:space="preserve">(2), 188–207. https://doi.org/10.1177/0022022102033002005</w:t>
      </w:r>
    </w:p>
    <w:p>
      <w:pPr>
        <w:pStyle w:val="BodyText"/>
      </w:pPr>
      <w:r>
        <w:t xml:space="preserve">Taras, V., Kirkman, B. L., &amp; Steel, P. (2010). Examining the impact of Culture’s Consequences: A three-decade, multilevel, meta-analytic review of Hofstede’s cultural value dimensions.</w:t>
      </w:r>
      <w:r>
        <w:t xml:space="preserve"> </w:t>
      </w:r>
      <w:r>
        <w:rPr>
          <w:i/>
          <w:iCs/>
        </w:rPr>
        <w:t xml:space="preserve">Journal of Applied Psychology, 95</w:t>
      </w:r>
      <w:r>
        <w:t xml:space="preserve">(3), 405–439. https://doi.org/10.1037/a0018938</w:t>
      </w:r>
    </w:p>
    <w:p>
      <w:pPr>
        <w:pStyle w:val="BodyText"/>
      </w:pPr>
      <w:r>
        <w:t xml:space="preserve">The Culture Factor Group. (n.d.).</w:t>
      </w:r>
      <w:r>
        <w:t xml:space="preserve"> </w:t>
      </w:r>
      <w:r>
        <w:rPr>
          <w:i/>
          <w:iCs/>
        </w:rPr>
        <w:t xml:space="preserve">Country comparison tool: Japan and United States</w:t>
      </w:r>
      <w:r>
        <w:t xml:space="preserve">. Retrieved June 12, 2026, from https://www.theculturefactor.com/country-comparison-tool?countries=japan%2Cunited%20states</w:t>
      </w:r>
    </w:p>
    <w:p>
      <w:pPr>
        <w:pStyle w:val="BodyText"/>
      </w:pPr>
      <w:r>
        <w:t xml:space="preserve">Trompenaars, F., &amp; Hampden-Turner, C. (1997).</w:t>
      </w:r>
      <w:r>
        <w:t xml:space="preserve"> </w:t>
      </w:r>
      <w:r>
        <w:rPr>
          <w:i/>
          <w:iCs/>
        </w:rPr>
        <w:t xml:space="preserve">Riding the waves of culture: Understanding cultural diversity in business</w:t>
      </w:r>
      <w:r>
        <w:t xml:space="preserve"> </w:t>
      </w:r>
      <w:r>
        <w:t xml:space="preserve">(2nd ed.). Nicholas Brealey.</w:t>
      </w:r>
    </w:p>
    <w:p>
      <w:pPr>
        <w:pStyle w:val="BodyText"/>
      </w:pPr>
      <w:r>
        <w:t xml:space="preserve">World Values Survey Association. (n.d.).</w:t>
      </w:r>
      <w:r>
        <w:t xml:space="preserve"> </w:t>
      </w:r>
      <w:r>
        <w:rPr>
          <w:i/>
          <w:iCs/>
        </w:rPr>
        <w:t xml:space="preserve">World Values Survey wave 7 documentation</w:t>
      </w:r>
      <w:r>
        <w:t xml:space="preserve">. Retrieved June 12, 2026, from https://www.worldvaluessurvey.org/WVSDocumentationWV7.jsp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Google Advertising Managers to Japan — Model-Grounded Training Report</dc:title>
  <dc:creator>Intercultural Competence and Diversity Training</dc:creator>
  <dc:language>en</dc:language>
  <cp:keywords/>
  <dcterms:created xsi:type="dcterms:W3CDTF">2026-06-12T09:55:50Z</dcterms:created>
  <dcterms:modified xsi:type="dcterms:W3CDTF">2026-06-12T09:55:50Z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Hofstede, Hall, Trompenaars, and World Values Survey / Inglehart-Welzel</vt:lpwstr>
  </property>
</Properties>
</file>