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3D24" w14:textId="77777777" w:rsidR="005C48C8" w:rsidRDefault="005C48C8" w:rsidP="005C48C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C48C8">
        <w:rPr>
          <w:rFonts w:asciiTheme="majorHAnsi" w:hAnsiTheme="majorHAnsi" w:cstheme="majorHAnsi"/>
          <w:b/>
          <w:bCs/>
          <w:sz w:val="28"/>
          <w:szCs w:val="28"/>
        </w:rPr>
        <w:t>Memoria del Trabajo: Modelo Predictivo de Calidad del Agua</w:t>
      </w:r>
    </w:p>
    <w:p w14:paraId="4EAF2E60" w14:textId="77777777" w:rsidR="005C48C8" w:rsidRPr="005C48C8" w:rsidRDefault="005C48C8" w:rsidP="005C48C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A9E5663" w14:textId="77777777" w:rsidR="005C48C8" w:rsidRPr="005C48C8" w:rsidRDefault="005C48C8" w:rsidP="005C48C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C48C8">
        <w:rPr>
          <w:rFonts w:asciiTheme="majorHAnsi" w:hAnsiTheme="majorHAnsi" w:cstheme="majorHAnsi"/>
          <w:b/>
          <w:bCs/>
          <w:sz w:val="28"/>
          <w:szCs w:val="28"/>
        </w:rPr>
        <w:t>Introducción</w:t>
      </w:r>
    </w:p>
    <w:p w14:paraId="4764D24E" w14:textId="77777777" w:rsidR="005C48C8" w:rsidRPr="005C48C8" w:rsidRDefault="005C48C8" w:rsidP="005C48C8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En este proyecto, se desarrolló un modelo predictivo para estimar la clasificación de la calidad del agua en función de diversas características del agua y el entorno. El objetivo principal es ayudar en la toma de decisiones relacionadas con el uso del agua en la agricultura y otros sectores. Se utilizó un conjunto de datos que contiene información de calidad del agua de varios años y se aplicaron técnicas de preprocesamiento de datos y aprendizaje automático para construir y evaluar modelos de clasificación.</w:t>
      </w:r>
    </w:p>
    <w:p w14:paraId="01E4D8F9" w14:textId="77777777" w:rsidR="005C48C8" w:rsidRPr="005C48C8" w:rsidRDefault="005C48C8" w:rsidP="005C48C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3648BBE" w14:textId="77777777" w:rsidR="005C48C8" w:rsidRPr="005C48C8" w:rsidRDefault="005C48C8" w:rsidP="005C48C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C48C8">
        <w:rPr>
          <w:rFonts w:asciiTheme="majorHAnsi" w:hAnsiTheme="majorHAnsi" w:cstheme="majorHAnsi"/>
          <w:b/>
          <w:bCs/>
          <w:sz w:val="28"/>
          <w:szCs w:val="28"/>
        </w:rPr>
        <w:t>Conjunto de Datos</w:t>
      </w:r>
    </w:p>
    <w:p w14:paraId="0351D637" w14:textId="77777777" w:rsidR="005C48C8" w:rsidRPr="005C48C8" w:rsidRDefault="005C48C8" w:rsidP="005C48C8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El conjunto de datos utilizado para este proyecto consiste en mediciones de calidad del agua recopiladas en diferentes distritos y años. Las características incluyen valores químicos, físicos y geográficos, como la concentración de iones, el pH, la temperatura, la latitud y la longitud, entre otros. La variable objetivo es la "Clasificación de la Calidad del Agua", que describe la idoneidad del agua para el riego y su impacto en el suelo y los cultivos.</w:t>
      </w:r>
    </w:p>
    <w:p w14:paraId="7593AC75" w14:textId="77777777" w:rsidR="005C48C8" w:rsidRPr="005C48C8" w:rsidRDefault="005C48C8" w:rsidP="005C48C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D4BF25A" w14:textId="77777777" w:rsidR="005C48C8" w:rsidRPr="005C48C8" w:rsidRDefault="005C48C8" w:rsidP="005C48C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C48C8">
        <w:rPr>
          <w:rFonts w:asciiTheme="majorHAnsi" w:hAnsiTheme="majorHAnsi" w:cstheme="majorHAnsi"/>
          <w:b/>
          <w:bCs/>
          <w:sz w:val="28"/>
          <w:szCs w:val="28"/>
        </w:rPr>
        <w:t>Preprocesamiento de Datos</w:t>
      </w:r>
    </w:p>
    <w:p w14:paraId="259D3C31" w14:textId="77777777" w:rsidR="005C48C8" w:rsidRPr="005C48C8" w:rsidRDefault="005C48C8" w:rsidP="005C48C8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Se llevaron a cabo las siguientes etapas de preprocesamiento de datos:</w:t>
      </w:r>
    </w:p>
    <w:p w14:paraId="4E345FC8" w14:textId="77777777" w:rsidR="005C48C8" w:rsidRPr="005C48C8" w:rsidRDefault="005C48C8" w:rsidP="005C48C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Eliminación de columnas innecesarias, como "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season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>" y "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Unnamed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>: 8".</w:t>
      </w:r>
    </w:p>
    <w:p w14:paraId="4A4B5A84" w14:textId="77777777" w:rsidR="005C48C8" w:rsidRPr="005C48C8" w:rsidRDefault="005C48C8" w:rsidP="005C48C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Renombrado de columnas para cumplir con un estándar de nomenclatura.</w:t>
      </w:r>
    </w:p>
    <w:p w14:paraId="47DC5225" w14:textId="77777777" w:rsidR="005C48C8" w:rsidRPr="005C48C8" w:rsidRDefault="005C48C8" w:rsidP="005C48C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Relleno de valores nulos en la columna "CO3" utilizando las medias por distrito en el año 2019.</w:t>
      </w:r>
    </w:p>
    <w:p w14:paraId="6A482743" w14:textId="77777777" w:rsidR="005C48C8" w:rsidRPr="005C48C8" w:rsidRDefault="005C48C8" w:rsidP="005C48C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Concatenación de los datos de diferentes años en un solo conjunto de datos.</w:t>
      </w:r>
    </w:p>
    <w:p w14:paraId="6D171CAA" w14:textId="77777777" w:rsidR="005C48C8" w:rsidRPr="005C48C8" w:rsidRDefault="005C48C8" w:rsidP="005C48C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Eliminación de categorías de clasificación raras que causaban ruido en el modelo.</w:t>
      </w:r>
    </w:p>
    <w:p w14:paraId="20896EE5" w14:textId="6CB00483" w:rsidR="005C48C8" w:rsidRDefault="005C48C8" w:rsidP="005C48C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lastRenderedPageBreak/>
        <w:t>Modelos de Aprendizaje Automático</w:t>
      </w:r>
    </w:p>
    <w:p w14:paraId="0C049DAD" w14:textId="77777777" w:rsidR="005C48C8" w:rsidRDefault="005C48C8" w:rsidP="005C48C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5F8E276" w14:textId="36E1B5B4" w:rsidR="005C48C8" w:rsidRPr="005C48C8" w:rsidRDefault="005C48C8" w:rsidP="005C48C8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Se construyeron varios modelos de aprendizaje automático para predecir la clasificación de la calidad del agua. Las etapas clave incluyeron:</w:t>
      </w:r>
    </w:p>
    <w:p w14:paraId="78149BBC" w14:textId="77777777" w:rsidR="005C48C8" w:rsidRPr="005C48C8" w:rsidRDefault="005C48C8" w:rsidP="005C48C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9A77774" w14:textId="77777777" w:rsidR="005C48C8" w:rsidRPr="005C48C8" w:rsidRDefault="005C48C8" w:rsidP="005C48C8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División del conjunto de datos en datos de entrenamiento y prueba.</w:t>
      </w:r>
    </w:p>
    <w:p w14:paraId="389E763B" w14:textId="77777777" w:rsidR="005C48C8" w:rsidRPr="005C48C8" w:rsidRDefault="005C48C8" w:rsidP="005C48C8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 xml:space="preserve">Normalización de los datos de entrada utilizando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>.</w:t>
      </w:r>
    </w:p>
    <w:p w14:paraId="322A8E26" w14:textId="77777777" w:rsidR="005C48C8" w:rsidRPr="005C48C8" w:rsidRDefault="005C48C8" w:rsidP="005C48C8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Reducción de la dimensionalidad con PCA (Análisis de Componentes Principales).</w:t>
      </w:r>
    </w:p>
    <w:p w14:paraId="259C240B" w14:textId="77777777" w:rsidR="005C48C8" w:rsidRPr="005C48C8" w:rsidRDefault="005C48C8" w:rsidP="005C48C8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Entrenamiento de los siguientes modelos:</w:t>
      </w:r>
    </w:p>
    <w:p w14:paraId="721F8479" w14:textId="77777777" w:rsidR="005C48C8" w:rsidRPr="005C48C8" w:rsidRDefault="005C48C8" w:rsidP="005C48C8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5C48C8">
        <w:rPr>
          <w:rFonts w:asciiTheme="majorHAnsi" w:hAnsiTheme="majorHAnsi" w:cstheme="majorHAnsi"/>
          <w:sz w:val="28"/>
          <w:szCs w:val="28"/>
        </w:rPr>
        <w:t>Decision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Tree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Classifier</w:t>
      </w:r>
      <w:proofErr w:type="spellEnd"/>
    </w:p>
    <w:p w14:paraId="3E2A04ED" w14:textId="77777777" w:rsidR="005C48C8" w:rsidRPr="005C48C8" w:rsidRDefault="005C48C8" w:rsidP="005C48C8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5C48C8">
        <w:rPr>
          <w:rFonts w:asciiTheme="majorHAnsi" w:hAnsiTheme="majorHAnsi" w:cstheme="majorHAnsi"/>
          <w:sz w:val="28"/>
          <w:szCs w:val="28"/>
        </w:rPr>
        <w:t>Random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Forest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Classifier</w:t>
      </w:r>
      <w:proofErr w:type="spellEnd"/>
    </w:p>
    <w:p w14:paraId="6D0BD262" w14:textId="77777777" w:rsidR="005C48C8" w:rsidRPr="005C48C8" w:rsidRDefault="005C48C8" w:rsidP="005C48C8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5C48C8">
        <w:rPr>
          <w:rFonts w:asciiTheme="majorHAnsi" w:hAnsiTheme="majorHAnsi" w:cstheme="majorHAnsi"/>
          <w:sz w:val="28"/>
          <w:szCs w:val="28"/>
        </w:rPr>
        <w:t>Support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Vector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Classifier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(SVC)</w:t>
      </w:r>
    </w:p>
    <w:p w14:paraId="7992F515" w14:textId="77777777" w:rsidR="005C48C8" w:rsidRPr="005C48C8" w:rsidRDefault="005C48C8" w:rsidP="005C48C8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K-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Nearest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Neighbors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(KNN)</w:t>
      </w:r>
    </w:p>
    <w:p w14:paraId="15D10DA9" w14:textId="77777777" w:rsidR="005C48C8" w:rsidRPr="005C48C8" w:rsidRDefault="005C48C8" w:rsidP="005C48C8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>Evaluación de los modelos mediante la precisión (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accuracy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>) en el conjunto de prueba.</w:t>
      </w:r>
    </w:p>
    <w:p w14:paraId="1471F33D" w14:textId="77777777" w:rsidR="005C48C8" w:rsidRDefault="005C48C8" w:rsidP="005C48C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005B695" w14:textId="35FAD339" w:rsidR="005C48C8" w:rsidRPr="005C48C8" w:rsidRDefault="005C48C8" w:rsidP="005C48C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C48C8">
        <w:rPr>
          <w:rFonts w:asciiTheme="majorHAnsi" w:hAnsiTheme="majorHAnsi" w:cstheme="majorHAnsi"/>
          <w:b/>
          <w:bCs/>
          <w:sz w:val="28"/>
          <w:szCs w:val="28"/>
        </w:rPr>
        <w:t>Resultados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63A2FB8" w14:textId="77777777" w:rsidR="005C48C8" w:rsidRPr="005C48C8" w:rsidRDefault="005C48C8" w:rsidP="005C48C8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 xml:space="preserve">Los resultados de los modelos mostraron diferentes niveles de precisión en la clasificación de la calidad del agua. Se observó que el modelo de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Random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Forest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Classifier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obtuvo la precisión más alta, seguido por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Support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Vector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Classifier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Decision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Tree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Classifier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y K-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Nearest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Neighbors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>. La elección del modelo final depende de las necesidades específicas y del equilibrio entre precisión y otros factores.</w:t>
      </w:r>
    </w:p>
    <w:p w14:paraId="41458B86" w14:textId="77777777" w:rsidR="005C48C8" w:rsidRPr="005C48C8" w:rsidRDefault="005C48C8" w:rsidP="005C48C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40659D1" w14:textId="7285F0A5" w:rsidR="005C48C8" w:rsidRPr="005C48C8" w:rsidRDefault="005C48C8" w:rsidP="005C48C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C48C8">
        <w:rPr>
          <w:rFonts w:asciiTheme="majorHAnsi" w:hAnsiTheme="majorHAnsi" w:cstheme="majorHAnsi"/>
          <w:b/>
          <w:bCs/>
          <w:sz w:val="28"/>
          <w:szCs w:val="28"/>
        </w:rPr>
        <w:t>Importancia de las Características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2B05B01" w14:textId="77777777" w:rsidR="005C48C8" w:rsidRPr="005C48C8" w:rsidRDefault="005C48C8" w:rsidP="005C48C8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 xml:space="preserve">Se analizó la importancia de las características para el modelo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Random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Forest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Classifier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>. Las características más importantes para el modelo incluyeron, entre otras, la concentración de iones, el pH y la temperatura. Este análisis puede proporcionar información valiosa sobre qué variables son más relevantes para predecir la calidad del agua.</w:t>
      </w:r>
    </w:p>
    <w:p w14:paraId="629FF20E" w14:textId="77777777" w:rsidR="005C48C8" w:rsidRPr="005C48C8" w:rsidRDefault="005C48C8" w:rsidP="005C48C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D15E1DF" w14:textId="77777777" w:rsidR="005C48C8" w:rsidRPr="005C48C8" w:rsidRDefault="005C48C8" w:rsidP="005C48C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C48C8">
        <w:rPr>
          <w:rFonts w:asciiTheme="majorHAnsi" w:hAnsiTheme="majorHAnsi" w:cstheme="majorHAnsi"/>
          <w:b/>
          <w:bCs/>
          <w:sz w:val="28"/>
          <w:szCs w:val="28"/>
        </w:rPr>
        <w:lastRenderedPageBreak/>
        <w:t>Uso de Modelos Entrenados</w:t>
      </w:r>
    </w:p>
    <w:p w14:paraId="3B86F93C" w14:textId="77777777" w:rsidR="005C48C8" w:rsidRPr="005C48C8" w:rsidRDefault="005C48C8" w:rsidP="005C48C8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 xml:space="preserve">Se proporcionó la capacidad de cargar los modelos previamente entrenados para realizar predicciones en nuevos datos. Los modelos de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Decision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Tree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Random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Forest, SVC y KNN se guardaron en </w:t>
      </w:r>
      <w:proofErr w:type="gramStart"/>
      <w:r w:rsidRPr="005C48C8">
        <w:rPr>
          <w:rFonts w:asciiTheme="majorHAnsi" w:hAnsiTheme="majorHAnsi" w:cstheme="majorHAnsi"/>
          <w:sz w:val="28"/>
          <w:szCs w:val="28"/>
        </w:rPr>
        <w:t>archivos .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pkl</w:t>
      </w:r>
      <w:proofErr w:type="spellEnd"/>
      <w:proofErr w:type="gramEnd"/>
      <w:r w:rsidRPr="005C48C8">
        <w:rPr>
          <w:rFonts w:asciiTheme="majorHAnsi" w:hAnsiTheme="majorHAnsi" w:cstheme="majorHAnsi"/>
          <w:sz w:val="28"/>
          <w:szCs w:val="28"/>
        </w:rPr>
        <w:t xml:space="preserve"> y se pueden utilizar según sea necesario.</w:t>
      </w:r>
    </w:p>
    <w:p w14:paraId="441448BD" w14:textId="77777777" w:rsidR="005C48C8" w:rsidRPr="005C48C8" w:rsidRDefault="005C48C8" w:rsidP="005C48C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937619C" w14:textId="77777777" w:rsidR="005C48C8" w:rsidRPr="005C48C8" w:rsidRDefault="005C48C8" w:rsidP="005C48C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C48C8">
        <w:rPr>
          <w:rFonts w:asciiTheme="majorHAnsi" w:hAnsiTheme="majorHAnsi" w:cstheme="majorHAnsi"/>
          <w:b/>
          <w:bCs/>
          <w:sz w:val="28"/>
          <w:szCs w:val="28"/>
        </w:rPr>
        <w:t>Conclusión</w:t>
      </w:r>
    </w:p>
    <w:p w14:paraId="1283E218" w14:textId="3CA88D8A" w:rsidR="008B41BF" w:rsidRPr="005C48C8" w:rsidRDefault="005C48C8" w:rsidP="005C48C8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5C48C8">
        <w:rPr>
          <w:rFonts w:asciiTheme="majorHAnsi" w:hAnsiTheme="majorHAnsi" w:cstheme="majorHAnsi"/>
          <w:sz w:val="28"/>
          <w:szCs w:val="28"/>
        </w:rPr>
        <w:t xml:space="preserve">Este proyecto demuestra la aplicación exitosa de técnicas de aprendizaje automático para predecir la calidad del agua a partir de datos químicos, físicos y geográficos. Los modelos construidos pueden ser valiosos para la toma de decisiones relacionadas con el uso del agua en la agricultura y otros sectores. Se pueden realizar mejoras adicionales en el proyecto, como la optimización de </w:t>
      </w:r>
      <w:proofErr w:type="spellStart"/>
      <w:r w:rsidRPr="005C48C8">
        <w:rPr>
          <w:rFonts w:asciiTheme="majorHAnsi" w:hAnsiTheme="majorHAnsi" w:cstheme="majorHAnsi"/>
          <w:sz w:val="28"/>
          <w:szCs w:val="28"/>
        </w:rPr>
        <w:t>hiperparámetros</w:t>
      </w:r>
      <w:proofErr w:type="spellEnd"/>
      <w:r w:rsidRPr="005C48C8">
        <w:rPr>
          <w:rFonts w:asciiTheme="majorHAnsi" w:hAnsiTheme="majorHAnsi" w:cstheme="majorHAnsi"/>
          <w:sz w:val="28"/>
          <w:szCs w:val="28"/>
        </w:rPr>
        <w:t xml:space="preserve"> y la inclusión de más datos históricos para mejorar la precisión y la robustez de los modelos.</w:t>
      </w:r>
    </w:p>
    <w:sectPr w:rsidR="008B41BF" w:rsidRPr="005C4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2B92"/>
    <w:multiLevelType w:val="hybridMultilevel"/>
    <w:tmpl w:val="848A0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A7D34"/>
    <w:multiLevelType w:val="hybridMultilevel"/>
    <w:tmpl w:val="7B4A3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679694">
    <w:abstractNumId w:val="1"/>
  </w:num>
  <w:num w:numId="2" w16cid:durableId="91030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C8"/>
    <w:rsid w:val="005C48C8"/>
    <w:rsid w:val="008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4D48"/>
  <w15:chartTrackingRefBased/>
  <w15:docId w15:val="{BBFFB95A-F54C-4A73-9D40-9B97901C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6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578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 De Paola</dc:creator>
  <cp:keywords/>
  <dc:description/>
  <cp:lastModifiedBy>Cono De Paola</cp:lastModifiedBy>
  <cp:revision>1</cp:revision>
  <dcterms:created xsi:type="dcterms:W3CDTF">2023-10-18T18:42:00Z</dcterms:created>
  <dcterms:modified xsi:type="dcterms:W3CDTF">2023-10-18T18:47:00Z</dcterms:modified>
</cp:coreProperties>
</file>