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1B2A4A"/>
          <w:sz w:val="56"/>
          <w:szCs w:val="56"/>
        </w:rPr>
        <w:t xml:space="preserve">CONSTRUCTION ERP</w:t>
      </w:r>
    </w:p>
    <w:p>
      <w:pPr>
        <w:jc w:val="center"/>
      </w:pPr>
      <w:r>
        <w:rPr>
          <w:b/>
          <w:bCs/>
          <w:color w:val="B08D57"/>
          <w:sz w:val="40"/>
          <w:szCs w:val="40"/>
        </w:rPr>
        <w:t xml:space="preserve">MULTI-TENANT SaaS PLATFORM</w:t>
      </w:r>
    </w:p>
    <w:p>
      <w:pPr>
        <w:spacing w:before="300"/>
        <w:jc w:val="center"/>
      </w:pPr>
      <w:r>
        <w:rPr>
          <w:color w:val="5A5A5A"/>
          <w:sz w:val="28"/>
          <w:szCs w:val="28"/>
        </w:rPr>
        <w:t xml:space="preserve">System Design Document</w:t>
      </w:r>
    </w:p>
    <w:p>
      <w:pPr>
        <w:spacing w:before="900"/>
        <w:jc w:val="center"/>
      </w:pPr>
      <w:r>
        <w:rPr>
          <w:i/>
          <w:iCs/>
          <w:color w:val="5A5A5A"/>
          <w:sz w:val="20"/>
          <w:szCs w:val="20"/>
        </w:rPr>
        <w:t xml:space="preserve">Architecture, Multi-Tenancy, Environments, Subscriptions &amp; Technology Stack</w:t>
      </w:r>
    </w:p>
    <w:p>
      <w:pPr>
        <w:spacing w:before="2400"/>
        <w:jc w:val="center"/>
      </w:pPr>
      <w:r>
        <w:rPr>
          <w:color w:val="5A5A5A"/>
          <w:sz w:val="18"/>
          <w:szCs w:val="18"/>
        </w:rPr>
        <w:t xml:space="preserve">Prepared for internal engineering planning — July 2026</w:t>
      </w:r>
    </w:p>
    <w:p>
      <w:r>
        <w:br w:type="page"/>
      </w:r>
    </w:p>
    <w:p>
      <w:pPr>
        <w:pStyle w:val="Heading1"/>
        <w:pBdr>
          <w:bottom w:val="single" w:color="1B2A4A" w:sz="8" w:space="4"/>
        </w:pBdr>
        <w:spacing w:after="160" w:before="36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B2A4A" w:sz="8" w:space="4"/>
        </w:pBdr>
        <w:spacing w:after="160" w:before="360"/>
      </w:pPr>
      <w:r>
        <w:t xml:space="preserve">1. Executive Summary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This document defines the system architecture for a single, multi-tenant Construction ERP platform delivered as a Software-as-a-Service (SaaS) product. One codebase and one deployment serves many construction companies (“organizations”), each with its own isolated data, users, subscription plan, and a dedicated Test (sandbox) environment plus a Live (production) environment.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The platform covers the full construction company lifecycle described in the source specification: tendering, CRM, contracts, project management, site operations, HR/payroll, procurement, inventory, equipment/fleet, finance, cost control, billing, document management, quality (QA/QC), health &amp; safety, risk, assets, maintenance, subcontractors, reporting/BI, notifications, a customer portal, and a mobile site app — 31 modules in total, delivered across five build phases.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Frontend is built with SvelteKit; the backend API is built with NestJS (TypeScript) on Node.js, backed by PostgreSQL, Redis, and an S3-compatible object store, deployed on Kubernetes with full CI/CD, per-tenant test/live environments, and Stripe-based subscription billing.</w:t>
      </w:r>
    </w:p>
    <w:p>
      <w:pPr>
        <w:pStyle w:val="Heading1"/>
        <w:pBdr>
          <w:bottom w:val="single" w:color="1B2A4A" w:sz="8" w:space="4"/>
        </w:pBdr>
        <w:spacing w:after="160" w:before="360"/>
      </w:pPr>
      <w:r>
        <w:t xml:space="preserve">2. Goals &amp;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Single codebase, single deployment, many tenants — one system sold repeatedly, not one install per customer.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Strict tenant data isolation with a cost-efficient default and an upgrade path to stronger isolation for large accounts.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Every organization gets two environments: a Test/Sandbox environment for training, configuration, and trialing upgrades, and a Live/Production environment for real operations.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Self-service subscription lifecycle: sign-up, plan selection, trial, upgrade/downgrade, suspension on non-payment, and cancellation — all without manual engineering intervention.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API-first backend so the SvelteKit web app, the mobile site app, the customer portal, and future integrations (accounting, GPS, biometrics) all consume the same contracts.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Modular monolith to start (fast to build, simple to operate), with clear module boundaries that allow specific modules (e.g. Notifications, Reporting/BI) to be split into services later without a rewrite.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Observability, auditability and compliance (SOC 2 / ISO 27001-style controls) built in from day one, not retrofitted.</w:t>
      </w:r>
    </w:p>
    <w:p>
      <w:pPr>
        <w:pStyle w:val="Heading1"/>
        <w:pBdr>
          <w:bottom w:val="single" w:color="1B2A4A" w:sz="8" w:space="4"/>
        </w:pBdr>
        <w:spacing w:after="160" w:before="360"/>
      </w:pPr>
      <w:r>
        <w:t xml:space="preserve">3. High-Level Architecture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The platform is organized in five layers: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00"/>
        <w:gridCol w:w="300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43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3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Primary Technology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Client layer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Web app, customer portal, mobile site app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SvelteKit, Capacitor/Flutter wrapper, PWA</w:t>
            </w:r>
          </w:p>
        </w:tc>
      </w:tr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Edge / Gateway</w:t>
            </w:r>
          </w:p>
        </w:tc>
        <w:tc>
          <w:tcPr>
            <w:tcW w:type="dxa" w:w="43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TLS termination, routing, rate limiting, tenant resolution</w:t>
            </w:r>
          </w:p>
        </w:tc>
        <w:tc>
          <w:tcPr>
            <w:tcW w:type="dxa" w:w="3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Cloudflare / NGINX Ingress, API Gateway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Application layer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Business logic, REST API, auth, workflow engine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NestJS (Node.js + TypeScript)</w:t>
            </w:r>
          </w:p>
        </w:tc>
      </w:tr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 layer</w:t>
            </w:r>
          </w:p>
        </w:tc>
        <w:tc>
          <w:tcPr>
            <w:tcW w:type="dxa" w:w="43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Relational data, cache, search, files, queue</w:t>
            </w:r>
          </w:p>
        </w:tc>
        <w:tc>
          <w:tcPr>
            <w:tcW w:type="dxa" w:w="3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PostgreSQL, Redis, OpenSearch, S3-compatible storage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Platform / Infra layer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Provisioning, billing, CI/CD, monitoring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Kubernetes, Terraform, Stripe Billing, Prometheus/Grafana</w:t>
            </w:r>
          </w:p>
        </w:tc>
      </w:tr>
    </w:tbl>
    <w:p>
      <w:pPr>
        <w:spacing w:before="200"/>
      </w:pPr>
    </w:p>
    <w:p>
      <w:pPr>
        <w:spacing w:after="140" w:line="276"/>
      </w:pPr>
      <w:r>
        <w:rPr>
          <w:color w:val="222222"/>
          <w:sz w:val="21"/>
          <w:szCs w:val="21"/>
        </w:rPr>
        <w:t xml:space="preserve">Request flow: a browser or mobile client calls a tenant-scoped URL such as acme.buildsaas.app (production) or acme.sandbox.buildsaas.app (test). The gateway resolves the tenant from the subdomain (or API key/JWT claim for the mobile app), attaches a tenant context header, and forwards the request into the NestJS API. A Tenant Context Middleware reads that header on every request and scopes every downstream database query, cache key, storage path, and queue job to that tenant — this is the single most important guardrail in the whole system.</w:t>
      </w:r>
    </w:p>
    <w:p>
      <w:pPr>
        <w:pStyle w:val="Heading1"/>
        <w:pBdr>
          <w:bottom w:val="single" w:color="1B2A4A" w:sz="8" w:space="4"/>
        </w:pBdr>
        <w:spacing w:after="160" w:before="360"/>
      </w:pPr>
      <w:r>
        <w:t xml:space="preserve">4. Multi-Tenancy Model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Multi-tenancy is the core design decision for this platform: it determines isolation strength, cost per tenant, and how easy the system is to operate at 10 tenants versus 500.</w:t>
      </w:r>
    </w:p>
    <w:p>
      <w:pPr>
        <w:pStyle w:val="Heading2"/>
        <w:spacing w:after="120" w:before="260"/>
      </w:pPr>
      <w:r>
        <w:t xml:space="preserve">4.1 Chosen model: hybrid, tiered isolation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Rather than one isolation strategy for every customer, the platform uses a tiered hybrid model, matching isolation cost to what each subscription tier actually needs: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70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3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Isolation model</w:t>
            </w:r>
          </w:p>
        </w:tc>
        <w:tc>
          <w:tcPr>
            <w:tcW w:type="dxa" w:w="37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Starter / Growth (pooled)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Shared database, shared schema, tenant_id column + PostgreSQL Row-Level Security (RLS) on every table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Cheapest to run; adequate isolation for small contractors; new tenants provisioned in seconds</w:t>
            </w:r>
          </w:p>
        </w:tc>
      </w:tr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Business (schema-per-tenant)</w:t>
            </w:r>
          </w:p>
        </w:tc>
        <w:tc>
          <w:tcPr>
            <w:tcW w:type="dxa" w:w="3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One PostgreSQL database, one schema per organization</w:t>
            </w:r>
          </w:p>
        </w:tc>
        <w:tc>
          <w:tcPr>
            <w:tcW w:type="dxa" w:w="37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Cleaner backups/restores per customer, easier custom fields per tenant, still shared infrastructure cost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Enterprise (dedicated)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Dedicated database (and, if contractually required, dedicated compute namespace)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Removes noisy-neighbor risk entirely; satisfies large clients' data-residency and audit requirements</w:t>
            </w:r>
          </w:p>
        </w:tc>
      </w:tr>
    </w:tbl>
    <w:p>
      <w:pPr>
        <w:spacing w:before="200"/>
      </w:pPr>
    </w:p>
    <w:p>
      <w:pPr>
        <w:spacing w:after="140" w:line="276"/>
      </w:pPr>
      <w:r>
        <w:rPr>
          <w:color w:val="222222"/>
          <w:sz w:val="21"/>
          <w:szCs w:val="21"/>
        </w:rPr>
        <w:t xml:space="preserve">Tenants can be migrated up a tier (pooled → schema → dedicated) as they grow, via a scripted export/import job; the application layer never hard-codes which model a tenant uses — a Tenant Registry service records each tenant's storage location and connection details, and a repository-layer abstraction resolves the correct connection at request time.</w:t>
      </w:r>
    </w:p>
    <w:p>
      <w:pPr>
        <w:pStyle w:val="Heading2"/>
        <w:spacing w:after="120" w:before="260"/>
      </w:pPr>
      <w:r>
        <w:t xml:space="preserve">4.2 Tenant resolution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Web: subdomain (acme.buildsaas.app) resolved at the gateway.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Mobile / API clients: tenant_id claim embedded in the JWT access token, validated against the Tenant Registry.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Custom domains (Enterprise tier): CNAME mapping resolved to a tenant_id via a domain-lookup table, cached in Redis.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Tenant resolution is implemented as a pluggable strategy (not hard-coded subdomain parsing) so custom domains and API keys can be added without touching call sites.</w:t>
      </w:r>
    </w:p>
    <w:p>
      <w:pPr>
        <w:pStyle w:val="Heading2"/>
        <w:spacing w:after="120" w:before="260"/>
      </w:pPr>
      <w:r>
        <w:t xml:space="preserve">4.3 Enforcing isolation in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Every table in the pooled tier carries a non-nullable organization_id column with PostgreSQL RLS policies that filter automatically on the session's tenant context — isolation is enforced by the database, not only by application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NestJS request-scoped provider injects the current tenant's data source (connection, schema, or RLS session variable) so every repository call is automatically tenant-scoped; there is no code path where a query can run without a resolved tenant.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Object storage keys are namespaced as /org/{organization_id}/{environment}/..., and signed URLs are scoped to that prefix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Background jobs and webhooks carry the tenant_id as a required field in the job payload, validated before execution.</w:t>
      </w:r>
    </w:p>
    <w:p>
      <w:pPr>
        <w:pStyle w:val="Heading1"/>
        <w:pBdr>
          <w:bottom w:val="single" w:color="1B2A4A" w:sz="8" w:space="4"/>
        </w:pBdr>
        <w:spacing w:after="160" w:before="360"/>
      </w:pPr>
      <w:r>
        <w:t xml:space="preserve">5. Test and Live Environments per Organization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Every organization that subscribes receives two isolated environments, selectable from the same login portal: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440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4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/ Sandbox</w:t>
            </w:r>
          </w:p>
        </w:tc>
        <w:tc>
          <w:tcPr>
            <w:tcW w:type="dxa" w:w="4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Live / Production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Purpose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Training, configuration, trialing new modules, staff onboarding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Real day-to-day operations</w:t>
            </w:r>
          </w:p>
        </w:tc>
      </w:tr>
      <w:tr>
        <w:tc>
          <w:tcPr>
            <w:tcW w:type="dxa" w:w="22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</w:t>
            </w:r>
          </w:p>
        </w:tc>
        <w:tc>
          <w:tcPr>
            <w:tcW w:type="dxa" w:w="4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Seeded demo data + freely resettable</w:t>
            </w:r>
          </w:p>
        </w:tc>
        <w:tc>
          <w:tcPr>
            <w:tcW w:type="dxa" w:w="4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Real tenant data, backed up and retained per policy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URL pattern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{org}.sandbox.buildsaas.app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{org}.buildsaas.app</w:t>
            </w:r>
          </w:p>
        </w:tc>
      </w:tr>
      <w:tr>
        <w:tc>
          <w:tcPr>
            <w:tcW w:type="dxa" w:w="22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Isolation</w:t>
            </w:r>
          </w:p>
        </w:tc>
        <w:tc>
          <w:tcPr>
            <w:tcW w:type="dxa" w:w="4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Same tenancy model as Live, in a separate schema/database suffixed _test</w:t>
            </w:r>
          </w:p>
        </w:tc>
        <w:tc>
          <w:tcPr>
            <w:tcW w:type="dxa" w:w="4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Tenant's assigned production schema/database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Integrations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Sandboxed/mocked (test Stripe keys, mock SMS/email)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Live third-party credentials</w:t>
            </w:r>
          </w:p>
        </w:tc>
      </w:tr>
      <w:tr>
        <w:tc>
          <w:tcPr>
            <w:tcW w:type="dxa" w:w="22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Refresh</w:t>
            </w:r>
          </w:p>
        </w:tc>
        <w:tc>
          <w:tcPr>
            <w:tcW w:type="dxa" w:w="4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“Reset sandbox” self-service action re-seeds demo data from a template</w:t>
            </w:r>
          </w:p>
        </w:tc>
        <w:tc>
          <w:tcPr>
            <w:tcW w:type="dxa" w:w="4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Not resettable; restore-from-backup only, with approval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Included in plan?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Included free with every paid subscription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Requires an active, paid subscription</w:t>
            </w:r>
          </w:p>
        </w:tc>
      </w:tr>
    </w:tbl>
    <w:p>
      <w:pPr>
        <w:spacing w:before="200"/>
      </w:pPr>
    </w:p>
    <w:p>
      <w:pPr>
        <w:spacing w:after="140" w:line="276"/>
      </w:pPr>
      <w:r>
        <w:rPr>
          <w:color w:val="222222"/>
          <w:sz w:val="21"/>
          <w:szCs w:val="21"/>
        </w:rPr>
        <w:t xml:space="preserve">Provisioning both environments is fully automated: when an organization signs up, a Provisioning Service (triggered by a Stripe checkout webhook) runs an Infrastructure-as-Code job (Terraform + a database migration runner) that creates the tenant record, the Live schema/database, the Test schema/database seeded with demo data, default roles, and an admin invite email — typically complete in under two minutes with no manual steps.</w:t>
      </w:r>
    </w:p>
    <w:p>
      <w:pPr>
        <w:pStyle w:val="Heading1"/>
        <w:pBdr>
          <w:bottom w:val="single" w:color="1B2A4A" w:sz="8" w:space="4"/>
        </w:pBdr>
        <w:spacing w:after="160" w:before="360"/>
      </w:pPr>
      <w:r>
        <w:t xml:space="preserve">6. Subscription &amp; Billing Architecture</w:t>
      </w:r>
    </w:p>
    <w:p>
      <w:pPr>
        <w:pStyle w:val="Heading2"/>
        <w:spacing w:after="120" w:before="260"/>
      </w:pPr>
      <w:r>
        <w:t xml:space="preserve">6.1 Plans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00"/>
      </w:tblGrid>
      <w:tr>
        <w:trPr>
          <w:tblHeader/>
        </w:trPr>
        <w:tc>
          <w:tcPr>
            <w:tcW w:type="dxa" w:w="1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3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 limits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Starter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Small contractors, single project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Up to 3 active projects, 10 users, pooled tenancy</w:t>
            </w:r>
          </w:p>
        </w:tc>
      </w:tr>
      <w:tr>
        <w:tc>
          <w:tcPr>
            <w:tcW w:type="dxa" w:w="1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Growth</w:t>
            </w:r>
          </w:p>
        </w:tc>
        <w:tc>
          <w:tcPr>
            <w:tcW w:type="dxa" w:w="3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Mid-size contractors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Up to 20 projects, 50 users, pooled tenancy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Business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Established firms, multiple branches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Unlimited projects, 200 users, schema-per-tenant</w:t>
            </w:r>
          </w:p>
        </w:tc>
      </w:tr>
      <w:tr>
        <w:tc>
          <w:tcPr>
            <w:tcW w:type="dxa" w:w="1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Enterprise</w:t>
            </w:r>
          </w:p>
        </w:tc>
        <w:tc>
          <w:tcPr>
            <w:tcW w:type="dxa" w:w="3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Large / multi-region contractors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Custom limits, dedicated database, SLA, SSO</w:t>
            </w:r>
          </w:p>
        </w:tc>
      </w:tr>
    </w:tbl>
    <w:p>
      <w:pPr>
        <w:spacing w:before="200"/>
      </w:pPr>
    </w:p>
    <w:p>
      <w:pPr>
        <w:pStyle w:val="Heading2"/>
        <w:spacing w:after="120" w:before="260"/>
      </w:pPr>
      <w:r>
        <w:t xml:space="preserve">6.2 Billing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Stripe Billing (or a regional equivalent for local payment methods) handles subscriptions, invoices, dunning, and proration.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Billing Service in the backend listens to Stripe webhooks (checkout completed, invoice paid, invoice failed, subscription updated/canceled) and is the single source of truth that flips an organization's status: trialing → active → past_due → suspended → canceled.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Usage-based add-ons (extra users, extra storage, extra projects) are metered nightly and reported to Stripe as metered usage records.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On past_due, Live environment access degrades to read-only after a configurable grace period; the Test/Sandbox environment stays reachable so the organization can review data before deciding whether to renew.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Plan changes (upgrade/downgrade) trigger a feature-flag and quota refresh via the Tenant Registry, without any deployment or downtime.</w:t>
      </w:r>
    </w:p>
    <w:p>
      <w:pPr>
        <w:pStyle w:val="Heading2"/>
        <w:spacing w:after="120" w:before="260"/>
      </w:pPr>
      <w:r>
        <w:t xml:space="preserve">6.3 Feature flags &amp; entitlements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Every module in Section 9 maps to an entitlement key (e.g. hse.permits_to_work, procurement.rfq). The API checks entitlements per request via a lightweight guard; the SvelteKit frontend reads the same entitlement list at login to hide/show navigation — one source of truth, enforced server-side, mirrored client-side for UX only.</w:t>
      </w:r>
    </w:p>
    <w:p>
      <w:pPr>
        <w:pStyle w:val="Heading1"/>
        <w:pBdr>
          <w:bottom w:val="single" w:color="1B2A4A" w:sz="8" w:space="4"/>
        </w:pBdr>
        <w:spacing w:after="160" w:before="360"/>
      </w:pPr>
      <w:r>
        <w:t xml:space="preserve">7. Frontend — SvelteKit</w:t>
      </w:r>
    </w:p>
    <w:p>
      <w:pPr>
        <w:pStyle w:val="Heading2"/>
        <w:spacing w:after="120" w:before="260"/>
      </w:pPr>
      <w:r>
        <w:t xml:space="preserve">7.1 Why SvelteKit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Compiles away the framework at build time — smaller bundles and faster load on the low-bandwidth, sometimes-offline connections common on construction sites.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File-based routing and load functions map cleanly onto a modular ERP with dozens of screens (one route per module/sub-module).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Built-in SSR + hydration gives fast first paint for dashboards; can degrade to a lightweight SPA shell for the offline-capable mobile site app.</w:t>
      </w:r>
    </w:p>
    <w:p>
      <w:pPr>
        <w:pStyle w:val="Heading2"/>
        <w:spacing w:after="120" w:before="260"/>
      </w:pPr>
      <w:r>
        <w:t xml:space="preserve">7.2 Frontend stack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dxa" w:w="6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Framework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SvelteKit (Svelte 5, runes: $state, $derived, $effect)</w:t>
            </w:r>
          </w:p>
        </w:tc>
      </w:tr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Language</w:t>
            </w:r>
          </w:p>
        </w:tc>
        <w:tc>
          <w:tcPr>
            <w:tcW w:type="dxa" w:w="6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TypeScript throughout, sharing DTO types with the NestJS backend via a generated OpenAPI client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Styling / design system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Tailwind CSS + a small internal component library (buttons, tables, modals, badges) themed per module (e.g. green for Plant Management, indigo for Grading, navy/cream for the insurance-style portal)</w:t>
            </w:r>
          </w:p>
        </w:tc>
      </w:tr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State</w:t>
            </w:r>
          </w:p>
        </w:tc>
        <w:tc>
          <w:tcPr>
            <w:tcW w:type="dxa" w:w="6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Svelte stores / runes for local UI state; TanStack Query (or SvelteKit load + invalidateAll) for server state and caching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Charts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Chart.js via svelte-chartjs for KPI dashboards and BI</w:t>
            </w:r>
          </w:p>
        </w:tc>
      </w:tr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Tables</w:t>
            </w:r>
          </w:p>
        </w:tc>
        <w:tc>
          <w:tcPr>
            <w:tcW w:type="dxa" w:w="6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Virtualized, server-paginated data tables for large record sets (materials, transactions, timesheets)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Forms &amp; validation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Superforms + Zod schemas shared between client and server for one validation source of truth</w:t>
            </w:r>
          </w:p>
        </w:tc>
      </w:tr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Auth</w:t>
            </w:r>
          </w:p>
        </w:tc>
        <w:tc>
          <w:tcPr>
            <w:tcW w:type="dxa" w:w="6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Cookie-based session (httpOnly, SameSite=Lax) for the web app; JWT bearer tokens for the mobile app and public API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Offline / mobile site app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Installable PWA with a service worker and an IndexedDB-backed outbox that queues site-diary entries, photos, and inspections while offline and syncs on reconnect</w:t>
            </w:r>
          </w:p>
        </w:tc>
      </w:tr>
    </w:tbl>
    <w:p>
      <w:pPr>
        <w:pStyle w:val="Heading1"/>
        <w:pBdr>
          <w:bottom w:val="single" w:color="1B2A4A" w:sz="8" w:space="4"/>
        </w:pBdr>
        <w:spacing w:after="160" w:before="360"/>
      </w:pPr>
      <w:r>
        <w:t xml:space="preserve">8. Backend — API Platform</w:t>
      </w:r>
    </w:p>
    <w:p>
      <w:pPr>
        <w:pStyle w:val="Heading2"/>
        <w:spacing w:after="120" w:before="260"/>
      </w:pPr>
      <w:r>
        <w:t xml:space="preserve">8.1 Framework choice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The backend is built on NestJS (Node.js, TypeScript). NestJS was selected over Django, Spring Boot, and a plain Go service for this specific project for the following reasons: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7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Fit for this project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NestJS (chosen)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TypeScript end-to-end with SvelteKit — one language, shared DTOs/validation, faster onboarding for a small team. Built-in dependency injection, modules, guards and interceptors map naturally onto 31 ERP modules with per-module isolation. Mature support for RBAC, multi-tenancy middleware, queues (BullMQ), and OpenAPI generation.</w:t>
            </w:r>
          </w:p>
        </w:tc>
      </w:tr>
      <w:tr>
        <w:tc>
          <w:tcPr>
            <w:tcW w:type="dxa" w:w="22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Go (Gin/Echo)</w:t>
            </w:r>
          </w:p>
        </w:tc>
        <w:tc>
          <w:tcPr>
            <w:tcW w:type="dxa" w:w="72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Best raw throughput and lowest memory footprint; strong choice later for specific hot-path services (e.g. GPS ingestion, notifications fan-out) split out of the monolith, but slower business-logic velocity for a broad ERP with a small team.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Django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Excellent admin scaffolding and ORM, but couples less naturally with a TypeScript frontend and Svelte 5 tooling; better fit if the team were Python-first.</w:t>
            </w:r>
          </w:p>
        </w:tc>
      </w:tr>
      <w:tr>
        <w:tc>
          <w:tcPr>
            <w:tcW w:type="dxa" w:w="22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Spring Boot</w:t>
            </w:r>
          </w:p>
        </w:tc>
        <w:tc>
          <w:tcPr>
            <w:tcW w:type="dxa" w:w="72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Extremely strong enterprise/compliance track record, but heavier operational footprint and slower iteration speed than the product needs at this stage.</w:t>
            </w:r>
          </w:p>
        </w:tc>
      </w:tr>
    </w:tbl>
    <w:p>
      <w:pPr>
        <w:spacing w:before="200"/>
      </w:pPr>
    </w:p>
    <w:p>
      <w:pPr>
        <w:spacing w:after="140" w:line="276"/>
      </w:pPr>
      <w:r>
        <w:rPr>
          <w:color w:val="222222"/>
          <w:sz w:val="21"/>
          <w:szCs w:val="21"/>
        </w:rPr>
        <w:t xml:space="preserve">Recommended path: start as a NestJS modular monolith (one deployable, clear module boundaries mirroring Section 9), then extract specific high-throughput or independently-scaling modules (Notifications, Reporting/BI, GPS/Fleet ingestion) into separate NestJS or Go microservices once real load data justifies it. This avoids the cost of a premature microservices architecture while keeping the exit door open.</w:t>
      </w:r>
    </w:p>
    <w:p>
      <w:pPr>
        <w:pStyle w:val="Heading2"/>
        <w:spacing w:after="120" w:before="260"/>
      </w:pPr>
      <w:r>
        <w:t xml:space="preserve">8.2 API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REST + OpenAPI 3 as the primary contract (auto-generated from NestJS decorators), versioned as /api/v1/...; the OpenAPI spec is used to generate a typed TypeScript client consumed directly by SvelteKit.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secondary GraphQL endpoint (Apollo/NestJS GraphQL) is exposed specifically for the Reporting/BI and Customer Portal modules, where clients need to shape flexible, nested queries (e.g. project + cost codes + variations in one call) without over-fetching.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Webhooks (outbound) let each organization subscribe integrations (accounting systems, e-signature, SMS gateways) to platform events such as invoice.issued or variation.approved.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Idempotency keys are required on all mutating financial endpoints (payments, invoices, payroll runs) to make retries safe.</w:t>
      </w:r>
    </w:p>
    <w:p>
      <w:pPr>
        <w:pStyle w:val="Heading2"/>
        <w:spacing w:after="120" w:before="260"/>
      </w:pPr>
      <w:r>
        <w:t xml:space="preserve">8.3 Core backend modules (technical, not business, decomposition)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Identity &amp; Access — authentication, RBAC/ABAC, organizations, branches, SSO (SAML/OIDC) for Enterprise tier.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Tenant Registry &amp; Provisioning — tenant metadata, environment records, migration runner.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Billing &amp; Entitlements — Stripe integration, plan/quota enforcement, feature flags.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Workflow Engine — generic approval-chain engine reused across tenders, variations, purchase orders, leave requests, and payment certificates instead of one-off approval logic per module.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Document Engine — versioned file storage, drawing/BOQ revisions, PDF generation for certificates and invoices.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Notification Engine — email/SMS/push fan-out, queued via BullMQ/Redis, templated per event.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Reporting/BI Engine — pre-aggregated materialized views + scheduled ETL jobs feeding dashboards.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Integration Gateway — outbound webhooks and inbound connectors (accounting exports, GPS, biometric attendance).</w:t>
      </w:r>
    </w:p>
    <w:p>
      <w:pPr>
        <w:pStyle w:val="Heading1"/>
        <w:pBdr>
          <w:bottom w:val="single" w:color="1B2A4A" w:sz="8" w:space="4"/>
        </w:pBdr>
        <w:spacing w:after="160" w:before="360"/>
      </w:pPr>
      <w:r>
        <w:t xml:space="preserve">9. Business Modules &amp; Build Phases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All 31 functional modules from the source specification are retained and grouped into the same five delivery phases, so the roadmap stays achievable while still covering the full lifecycle: tender → contract → build → close-out → maintain.</w:t>
      </w:r>
    </w:p>
    <w:p>
      <w:pPr>
        <w:pStyle w:val="Heading2"/>
        <w:spacing w:after="120" w:before="260"/>
      </w:pPr>
      <w:r>
        <w:t xml:space="preserve">Phase 1 — Core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Administration (users, roles, permissions, organizations, branches, audit logs)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CRM (clients, consultants, architects, engineers, government agencies)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Tender &amp; Bid Management (BOQ, cost estimation, bid workflow, win/loss analysis)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Project Management (WBS, Gantt, milestones, critical path, dependencies)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Document Management (drawings, contracts, BOQs, version control)</w:t>
      </w:r>
    </w:p>
    <w:p>
      <w:pPr>
        <w:pStyle w:val="Heading2"/>
        <w:spacing w:after="120" w:before="260"/>
      </w:pPr>
      <w:r>
        <w:t xml:space="preserve">Phase 2 — Site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Site Management (daily diary, inspections, delays, weather logs)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Resource Planning (labour, equipment, vehicle, crew/shift scheduling)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Procurement (requisitions, RFQs, purchase orders, GRNs)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Inventory &amp; Warehouse (stock movements, batch tracking, valuation)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Equipment &amp; Plant Management, Fleet Management</w:t>
      </w:r>
    </w:p>
    <w:p>
      <w:pPr>
        <w:pStyle w:val="Heading2"/>
        <w:spacing w:after="120" w:before="260"/>
      </w:pPr>
      <w:r>
        <w:t xml:space="preserve">Phase 3 — Financial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Finance &amp; Accounting (GL, AP/AR, bank reconciliation, budgeting)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Project Cost Control (cost codes, earned value, cost variance)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Payroll, Billing &amp; Invoicing, Payment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Contract Management (variations, claims, retention, performance bonds)</w:t>
      </w:r>
    </w:p>
    <w:p>
      <w:pPr>
        <w:pStyle w:val="Heading2"/>
        <w:spacing w:after="120" w:before="260"/>
      </w:pPr>
      <w:r>
        <w:t xml:space="preserve">Phase 4 — Compliance &amp; 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Human Resources (recruitment, leave, training, certifications)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Quality Management (QA/QC — inspections, NCRs, snag lists)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Health &amp; Safety (HSE — incidents, toolbox talks, permits to work)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Risk Management, Asset Management, Maintenance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Subcontractor Management, Timesheets, Variation &amp; Change Order Management</w:t>
      </w:r>
    </w:p>
    <w:p>
      <w:pPr>
        <w:pStyle w:val="Heading2"/>
        <w:spacing w:after="120" w:before="260"/>
      </w:pPr>
      <w:r>
        <w:t xml:space="preserve">Phase 5 — Intelligence &amp; Mobility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Reporting &amp; Business Intelligence dashboards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Mobile Site App (offline-first, GPS check-in, photos, inspections)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Customer Portal (progress, invoices, variation approvals)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Notifications &amp; Workflow automation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API integrations — accounting systems, GPS, biometrics, document storage</w:t>
      </w:r>
    </w:p>
    <w:p>
      <w:pPr>
        <w:pStyle w:val="Heading1"/>
        <w:pBdr>
          <w:bottom w:val="single" w:color="1B2A4A" w:sz="8" w:space="4"/>
        </w:pBdr>
        <w:spacing w:after="160" w:before="360"/>
      </w:pPr>
      <w:r>
        <w:t xml:space="preserve">10. Multi-Tenant Data Model (Core Entities)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At the platform level (outside any tenant schema) a small set of control-plane tables coordinates tenancy, billing and provisioning: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6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organizations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One row per customer company: name, tenancy_tier, isolation_model, status</w:t>
            </w:r>
          </w:p>
        </w:tc>
      </w:tr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environments</w:t>
            </w:r>
          </w:p>
        </w:tc>
        <w:tc>
          <w:tcPr>
            <w:tcW w:type="dxa" w:w="6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One row per (organization, env) pair: env=test|live, connection info, seeded_at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subscriptions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Stripe customer/subscription id, plan, status, renewal date, quotas</w:t>
            </w:r>
          </w:p>
        </w:tc>
      </w:tr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users_global</w:t>
            </w:r>
          </w:p>
        </w:tc>
        <w:tc>
          <w:tcPr>
            <w:tcW w:type="dxa" w:w="6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Login identity + which organizations/environments a user can access (a person can belong to multiple orgs)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domains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Custom-domain → organization_id mapping for Enterprise tier</w:t>
            </w:r>
          </w:p>
        </w:tc>
      </w:tr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audit_log_global</w:t>
            </w:r>
          </w:p>
        </w:tc>
        <w:tc>
          <w:tcPr>
            <w:tcW w:type="dxa" w:w="6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Cross-tenant security events: logins, permission changes, provisioning actions</w:t>
            </w:r>
          </w:p>
        </w:tc>
      </w:tr>
    </w:tbl>
    <w:p>
      <w:pPr>
        <w:spacing w:before="200"/>
      </w:pPr>
    </w:p>
    <w:p>
      <w:pPr>
        <w:spacing w:after="140" w:line="276"/>
      </w:pPr>
      <w:r>
        <w:rPr>
          <w:color w:val="222222"/>
          <w:sz w:val="21"/>
          <w:szCs w:val="21"/>
        </w:rPr>
        <w:t xml:space="preserve">Inside each tenant's schema/database, the domain model follows the hierarchy already defined in the source specification (Organization → Branch → Project → Contract/Site/Budget/Procurement/Inventory/Equipment/HR/Finance/QA-QC/HSE/Billing/Reports/Documents, plus top-level Suppliers, Clients, Employees, and Assets). Every tenant table additionally carries organization_id (redundant but kept for defence-in-depth even in schema-per-tenant mode), created_by, created_at, and a soft-delete deleted_at column.</w:t>
      </w:r>
    </w:p>
    <w:p>
      <w:pPr>
        <w:pStyle w:val="Heading1"/>
        <w:pBdr>
          <w:bottom w:val="single" w:color="1B2A4A" w:sz="8" w:space="4"/>
        </w:pBdr>
        <w:spacing w:after="160" w:before="360"/>
      </w:pPr>
      <w:r>
        <w:t xml:space="preserve">11. Security &amp;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Authentication: password + TOTP MFA by default; SAML/OIDC SSO for Enterprise tier.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Authorization: RBAC with organization-scoped roles (e.g. Site Engineer, QS, Project Manager, Finance Officer) plus row-level permission checks for sensitive records (payroll, bank details).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Encryption in transit (TLS 1.3 everywhere) and at rest (PostgreSQL TDE / cloud-provider disk encryption; object storage server-side encryption); Enterprise tier may use tenant-specific encryption keys (envelope encryption via a KMS).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Full audit logging of who changed what, when, tenant-scoped, immutable/append-only, exportable for SOC 2 / ISO 27001 evidence.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Secrets management via a vault (e.g. HashiCorp Vault or cloud secrets manager) — no credentials in code or environment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Regular penetration testing and dependency/vulnerability scanning (the user's own background in vulnerability scanning maps directly onto this operational practice) in the CI pipeline.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Data residency options for Enterprise customers (region-pinned dedicated database) to satisfy government/regulated clients.</w:t>
      </w:r>
    </w:p>
    <w:p>
      <w:pPr>
        <w:pStyle w:val="Heading1"/>
        <w:pBdr>
          <w:bottom w:val="single" w:color="1B2A4A" w:sz="8" w:space="4"/>
        </w:pBdr>
        <w:spacing w:after="160" w:before="360"/>
      </w:pPr>
      <w:r>
        <w:t xml:space="preserve">12. DevOps &amp; Infrastructure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dxa" w:w="7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Containerization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Docker images for the NestJS API, worker processes, and the SvelteKit server (Node adapter)</w:t>
            </w:r>
          </w:p>
        </w:tc>
      </w:tr>
      <w:tr>
        <w:tc>
          <w:tcPr>
            <w:tcW w:type="dxa" w:w="2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7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Kubernetes; each organization's Test and Live environments run as isolated namespaces for the Enterprise tier, shared namespaces with quotas for pooled tiers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Infrastructure as Code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Terraform for cloud resources (databases, buckets, DNS); Helm charts for app deployment</w:t>
            </w:r>
          </w:p>
        </w:tc>
      </w:tr>
      <w:tr>
        <w:tc>
          <w:tcPr>
            <w:tcW w:type="dxa" w:w="2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CI/CD</w:t>
            </w:r>
          </w:p>
        </w:tc>
        <w:tc>
          <w:tcPr>
            <w:tcW w:type="dxa" w:w="7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GitHub Actions: lint → typecheck → unit tests → integration tests → build images → deploy to a shared staging cluster → promote to production on approval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Database migrations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Versioned migrations (e.g. Prisma/Knex/TypeORM migrations) applied per-tenant by the Provisioning Service, run against the Test environment first, then Live</w:t>
            </w:r>
          </w:p>
        </w:tc>
      </w:tr>
      <w:tr>
        <w:tc>
          <w:tcPr>
            <w:tcW w:type="dxa" w:w="2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Monitoring</w:t>
            </w:r>
          </w:p>
        </w:tc>
        <w:tc>
          <w:tcPr>
            <w:tcW w:type="dxa" w:w="7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Prometheus + Grafana for metrics, OpenTelemetry tracing across API → DB → queue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Logging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Centralized structured logs (ELK/Loki), tagged with organization_id and environment for per-tenant troubleshooting without cross-tenant leakage</w:t>
            </w:r>
          </w:p>
        </w:tc>
      </w:tr>
      <w:tr>
        <w:tc>
          <w:tcPr>
            <w:tcW w:type="dxa" w:w="24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Backups &amp; DR</w:t>
            </w:r>
          </w:p>
        </w:tc>
        <w:tc>
          <w:tcPr>
            <w:tcW w:type="dxa" w:w="7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Automated nightly backups per tenant (schema or database level), point-in-time recovery, quarterly restore drills</w:t>
            </w:r>
          </w:p>
        </w:tc>
      </w:tr>
    </w:tbl>
    <w:p>
      <w:pPr>
        <w:pStyle w:val="Heading1"/>
        <w:pBdr>
          <w:bottom w:val="single" w:color="1B2A4A" w:sz="8" w:space="4"/>
        </w:pBdr>
        <w:spacing w:after="160" w:before="360"/>
      </w:pPr>
      <w:r>
        <w:t xml:space="preserve">13. Scalability &amp;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Horizontal scaling of stateless NestJS API pods behind the gateway; database connections pooled via PgBouncer to survive many small tenant connections.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Read replicas for reporting/BI queries so heavy dashboard queries never compete with transactional writes (site diary entries, payments).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Redis caching for hot, rarely-changing lookups (roles, plan entitlements, tenant registry) with short TTLs plus event-based invalidation.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Background job queues (BullMQ) absorb spiky workloads — payroll runs, bulk notification fan-out, PDF generation — so user-facing requests stay fast.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Materialized views refreshed on a schedule (or via triggers) power the Business Intelligence dashboards without recomputing earned-value/cost-variance analytics on every page 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Load testing per release against a representative “large tenant” dataset (hundreds of active projects, tens of thousands of inventory transactions) before promoting to production.</w:t>
      </w:r>
    </w:p>
    <w:p>
      <w:pPr>
        <w:pStyle w:val="Heading1"/>
        <w:pBdr>
          <w:bottom w:val="single" w:color="1B2A4A" w:sz="8" w:space="4"/>
        </w:pBdr>
        <w:spacing w:after="160" w:before="360"/>
      </w:pPr>
      <w:r>
        <w:t xml:space="preserve">14. Delivery Roadmap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5000"/>
      </w:tblGrid>
      <w:tr>
        <w:trPr>
          <w:tblHeader/>
        </w:trPr>
        <w:tc>
          <w:tcPr>
            <w:tcW w:type="dxa" w:w="1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5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platform milestones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1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Core Operations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Multi-tenant auth, Tenant Registry, provisioning pipeline, Stripe billing skeleton, Test/Live environment split</w:t>
            </w:r>
          </w:p>
        </w:tc>
      </w:tr>
      <w:tr>
        <w:tc>
          <w:tcPr>
            <w:tcW w:type="dxa" w:w="1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2</w:t>
            </w:r>
          </w:p>
        </w:tc>
        <w:tc>
          <w:tcPr>
            <w:tcW w:type="dxa" w:w="2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Site Operations</w:t>
            </w:r>
          </w:p>
        </w:tc>
        <w:tc>
          <w:tcPr>
            <w:tcW w:type="dxa" w:w="5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Mobile offline-first site app, object storage for photos/documents, queue-based sync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3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Financial Operations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Ledger integrity, idempotent payment endpoints, payroll batch jobs</w:t>
            </w:r>
          </w:p>
        </w:tc>
      </w:tr>
      <w:tr>
        <w:tc>
          <w:tcPr>
            <w:tcW w:type="dxa" w:w="1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4</w:t>
            </w:r>
          </w:p>
        </w:tc>
        <w:tc>
          <w:tcPr>
            <w:tcW w:type="dxa" w:w="2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Compliance &amp; Quality</w:t>
            </w:r>
          </w:p>
        </w:tc>
        <w:tc>
          <w:tcPr>
            <w:tcW w:type="dxa" w:w="5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Full audit trail, permit/inspection workflows, risk register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5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Intelligence &amp; Mobility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 materialized views, GraphQL reporting API, customer portal, external integrations</w:t>
            </w:r>
          </w:p>
        </w:tc>
      </w:tr>
    </w:tbl>
    <w:p>
      <w:pPr>
        <w:pStyle w:val="Heading1"/>
        <w:pBdr>
          <w:bottom w:val="single" w:color="1B2A4A" w:sz="8" w:space="4"/>
        </w:pBdr>
        <w:spacing w:after="160" w:before="360"/>
      </w:pPr>
      <w:r>
        <w:t xml:space="preserve">15. Technology Stack Summary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Frontend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SvelteKit (Svelte 5), TypeScript, Tailwind CSS, TanStack Query, Chart.js, PWA/offline support</w:t>
            </w:r>
          </w:p>
        </w:tc>
      </w:tr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6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NestJS (Node.js + TypeScript), REST + OpenAPI 3, GraphQL for reporting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Database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PostgreSQL (RLS for pooled tenancy, schema/database per tenant for higher tiers)</w:t>
            </w:r>
          </w:p>
        </w:tc>
      </w:tr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Cache / Queue</w:t>
            </w:r>
          </w:p>
        </w:tc>
        <w:tc>
          <w:tcPr>
            <w:tcW w:type="dxa" w:w="6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Redis, BullMQ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Search / Analytics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OpenSearch (optional) + PostgreSQL materialized views</w:t>
            </w:r>
          </w:p>
        </w:tc>
      </w:tr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Object storage</w:t>
            </w:r>
          </w:p>
        </w:tc>
        <w:tc>
          <w:tcPr>
            <w:tcW w:type="dxa" w:w="6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S3-compatible storage (drawings, photos, documents, exports)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Billing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Stripe Billing (subscriptions, metering, invoicing)</w:t>
            </w:r>
          </w:p>
        </w:tc>
      </w:tr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Infra</w:t>
            </w:r>
          </w:p>
        </w:tc>
        <w:tc>
          <w:tcPr>
            <w:tcW w:type="dxa" w:w="6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Docker, Kubernetes, Terraform, Helm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CI/CD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GitHub Actions</w:t>
            </w:r>
          </w:p>
        </w:tc>
      </w:tr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6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Prometheus, Grafana, OpenTelemetry, Loki/ELK</w:t>
            </w:r>
          </w:p>
        </w:tc>
      </w:tr>
    </w:tbl>
    <w:p>
      <w:pPr>
        <w:pBdr>
          <w:bottom w:val="single" w:color="CCCCCC" w:sz="6" w:space="1"/>
        </w:pBdr>
        <w:spacing w:after="200"/>
      </w:pPr>
    </w:p>
    <w:p>
      <w:pPr>
        <w:spacing w:after="140" w:line="276"/>
      </w:pPr>
      <w:r>
        <w:rPr>
          <w:color w:val="222222"/>
          <w:sz w:val="21"/>
          <w:szCs w:val="21"/>
        </w:rPr>
        <w:t xml:space="preserve">This design keeps the platform to a single, sellable product: one team maintains one codebase; each construction company that subscribes gets its own secure data, its own Test and Live environments, and a subscription plan that scales from a small contractor to a national, multi-branch enterprise — without ever forking the code.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t xml:space="preserve">Page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A5A"/>
        <w:sz w:val="16"/>
        <w:szCs w:val="16"/>
      </w:rPr>
      <w:t xml:space="preserve">Construction ERP SaaS — System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2026-07-15T13:46:29.322Z</dcterms:created>
  <dcterms:modified xsi:type="dcterms:W3CDTF">2026-07-15T13:46:29.336Z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