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CRS 资产信息交换风险评估报告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CRS Financial Account Information Exchange Risk Assessment Report</w:t>
      </w:r>
    </w:p>
    <w:p>
      <w:pPr>
        <w:pBdr>
          <w:bottom w:val="single" w:color="1F4E79" w:sz="6"/>
        </w:pBdr>
        <w:spacing w:after="60" w:before="60"/>
        <w:jc w:val="center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评估日期：2026年03月21日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覆盖资产类型：银行存款/金融账户、上市公司股票、保险（有现金价值保单）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第一章  基本情况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根据您提供的信息，您已确认为中国内地税务居民。本报告针对您持有的海外金融资产，在 CRS（共同申报准则）框架下评估信息是否可能被交换回中国内地税务机关。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本次评估基于您提供的信息和 CRS 通用规则，评估结论分为三类：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会被交换</w:t>
      </w:r>
      <w:r>
        <w:rPr>
          <w:rFonts w:ascii="Arial" w:cs="Arial" w:eastAsia="Arial" w:hAnsi="Arial"/>
          <w:sz w:val="22"/>
          <w:szCs w:val="22"/>
        </w:rPr>
        <w:t xml:space="preserve">：信息将通过 CRS 渠道传递至中国内地税务机关；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不会被交换</w:t>
      </w:r>
      <w:r>
        <w:rPr>
          <w:rFonts w:ascii="Arial" w:cs="Arial" w:eastAsia="Arial" w:hAnsi="Arial"/>
          <w:sz w:val="22"/>
          <w:szCs w:val="22"/>
        </w:rPr>
        <w:t xml:space="preserve">：基于当前信息，不在 CRS 交换范围内或所在地与中国内地尚未激活交换关系；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存在风险，建议进一步分析</w:t>
      </w:r>
      <w:r>
        <w:rPr>
          <w:rFonts w:ascii="Arial" w:cs="Arial" w:eastAsia="Arial" w:hAnsi="Arial"/>
          <w:sz w:val="22"/>
          <w:szCs w:val="22"/>
        </w:rPr>
        <w:t xml:space="preserve">：信息不完整或情况较为复杂，无法做出明确判断。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第二章  资产风险分析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银行存款 / 金融账户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所在地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美国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账户类型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个人账户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账户余额范围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万人民币以上</w:t>
            </w:r>
          </w:p>
        </w:tc>
      </w:tr>
    </w:tbl>
    <w:p>
      <w:pPr>
        <w:spacing w:after="4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评估结论：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不会被交换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理由说明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该账户为您本人名下的个人银行账户，开设于美国。根据 CRS 成员国与激活状态数据，美国尚未加入 CRS 框架，美国采用自身的 FATCA（《海外账户税收合规法》）体系处理跨境税务信息，不通过 CRS 渠道向其他国家交换金融账户信息。因此，您在美国持有的这笔银行存款，不存在通过 CRS 机制交换回中国内地税务机关的风险。</w:t>
      </w:r>
    </w:p>
    <w:p>
      <w:pPr>
        <w:spacing w:after="80" w:before="80"/>
      </w:pPr>
    </w:p>
    <w:p>
      <w:pPr>
        <w:shd w:fill="FFF8E7" w:val="clear"/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特别提示：</w:t>
      </w:r>
      <w:r>
        <w:rPr>
          <w:rFonts w:ascii="Arial" w:cs="Arial" w:eastAsia="Arial" w:hAnsi="Arial"/>
          <w:sz w:val="22"/>
          <w:szCs w:val="22"/>
        </w:rPr>
        <w:t xml:space="preserve">虽然 CRS 不适用，FATCA 体系有其自身的信息申报机制，美国金融机构可能依据 FATCA 要求向美国税务机关（IRS）申报相关信息。建议就 FATCA 合规要求另行专项咨询，以确认是否存在其他申报义务。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上市公司股票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所在交易所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香港联交所（港交所）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所在地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香港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持有方式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个人直接持有</w:t>
            </w:r>
          </w:p>
        </w:tc>
      </w:tr>
    </w:tbl>
    <w:p>
      <w:pPr>
        <w:spacing w:after="4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评估结论：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会被交换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理由说明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您在香港联交所持有的上市公司股票为个人直接持有，相关账户（如香港券商账户）属于 CRS 下的金融账户。香港已与中国内地激活 CRS 信息自动交换关系，香港金融机构（含证券商）会定期将账户持有人信息（含账户余额、股息收入、资本利得等）申报给香港税务局，再由香港税务局交换给中国内地税务机关。因此，您持有香港上市公司股票的相关账户信息，会被交换回中国内地税务机关。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保险（有现金价值保单）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保险公司注册地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香港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保单类型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终身寿险、年金险、储蓄型保险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投保人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您本人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被保险人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您的配偶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受益人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您的子女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公司/信托参与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4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评估结论：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会被交换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理由说明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该保单的投保人（保单持有人）为您本人，属于个人持有结构，未涉及公司或信托。终身寿险、年金险、储蓄型保险均具有现金价值，属于 CRS 框架下的金融账户范畴。保险公司注册在香港，而香港已与中国内地激活 CRS 信息交换关系，香港保险公司会将具有现金价值的保单信息（含保单现金价值）申报给香港税务局，再交换给中国内地税务机关。因此，该保单信息会被交换。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特别提示：</w:t>
      </w:r>
      <w:r>
        <w:rPr>
          <w:rFonts w:ascii="Arial" w:cs="Arial" w:eastAsia="Arial" w:hAnsi="Arial"/>
          <w:sz w:val="22"/>
          <w:szCs w:val="22"/>
        </w:rPr>
        <w:t xml:space="preserve">该保单的投保人（您本人）、被保险人（配偶）和受益人（子女）三方角色不同，CRS 下的信息申报以投保人/保单持有人为主要申报对象。建议确认被保险人（配偶）及受益人（子女）的税务居民身份，了解是否存在多重税务管辖地的申报义务。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第三章  综合建议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立即关注事项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您持有的以下资产信息均会被交换回中国内地税务机关：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香港上市公司股票</w:t>
      </w:r>
      <w:r>
        <w:rPr>
          <w:rFonts w:ascii="Arial" w:cs="Arial" w:eastAsia="Arial" w:hAnsi="Arial"/>
          <w:sz w:val="22"/>
          <w:szCs w:val="22"/>
        </w:rPr>
        <w:t xml:space="preserve">：建议关注相关账户收入（股息、资本利得等）在中国内地的税务申报情况，必要时提前与专业税务顾问沟通。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香港保险保单</w:t>
      </w:r>
      <w:r>
        <w:rPr>
          <w:rFonts w:ascii="Arial" w:cs="Arial" w:eastAsia="Arial" w:hAnsi="Arial"/>
          <w:sz w:val="22"/>
          <w:szCs w:val="22"/>
        </w:rPr>
        <w:t xml:space="preserve">：建议了解保单现金价值增长部分的税务处理方式，以及是否需要主动申报相关收入。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建议进一步核实事项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美国银行账户（FATCA 合规）</w:t>
      </w:r>
      <w:r>
        <w:rPr>
          <w:rFonts w:ascii="Arial" w:cs="Arial" w:eastAsia="Arial" w:hAnsi="Arial"/>
          <w:sz w:val="22"/>
          <w:szCs w:val="22"/>
        </w:rPr>
        <w:t xml:space="preserve">：虽不存在 CRS 交换风险，但鉴于账户余额达 300 万人民币以上，建议专项咨询 FATCA 合规要求，确认是否存在美国税务机关层面的申报义务，以及该账户收入在中国内地的税务处理方式。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香港保单多方税务身份核实</w:t>
      </w:r>
      <w:r>
        <w:rPr>
          <w:rFonts w:ascii="Arial" w:cs="Arial" w:eastAsia="Arial" w:hAnsi="Arial"/>
          <w:sz w:val="22"/>
          <w:szCs w:val="22"/>
        </w:rPr>
        <w:t xml:space="preserve">：建议进一步确认被保险人（配偶）及受益人（子女）的税务居民身份，以便全面评估是否存在多个税务管辖地的申报义务。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第四章  重要声明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本报告基于您提供的信息及 CRS 通用规则生成，不构成正式税务意见。CRS 规则在各参与国的具体执行中可能存在差异，具体信息交换情况以相关国家和地区税务机关的实际执行为准。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本次评估所用 CRS 成员国与激活状态数据版本日期为 2026-03-21，该数据存在时效性，建议定期核实最新状态。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如您的资产情况发生变化（如新增资产、架构调整、税务居民身份变化等），或需要针对特定资产进行详细的税务合规规划，建议咨询专业税务顾问。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本报告仅覆盖 CRS 框架下的信息交换风险，不涵盖 FATCA（美国《海外账户税收合规法》）、BEPS（税基侵蚀和利润转移）等其他国际税务合规要求，如有相关需求请另行专项咨询。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报告结束 —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页，共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CRS 资产信息交换风险评估报告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2026-03-21T04:26:36.254Z</dcterms:created>
  <dcterms:modified xsi:type="dcterms:W3CDTF">2026-03-21T04:26:36.255Z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