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ind w:left="3327"/>
        <w:rPr>
          <w:sz w:val="20"/>
        </w:rPr>
      </w:pPr>
      <w:r>
        <w:rPr>
          <w:rFonts w:hint="eastAsia"/>
          <w:sz w:val="20"/>
          <w:lang w:bidi="ar-SA"/>
        </w:rPr>
        <w:drawing>
          <wp:inline distT="0" distB="0" distL="0" distR="0">
            <wp:extent cx="2861945" cy="88328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2862332" cy="883443"/>
                    </a:xfrm>
                    <a:prstGeom prst="rect">
                      <a:avLst/>
                    </a:prstGeom>
                  </pic:spPr>
                </pic:pic>
              </a:graphicData>
            </a:graphic>
          </wp:inline>
        </w:drawing>
      </w:r>
    </w:p>
    <w:p>
      <w:pPr>
        <w:pStyle w:val="6"/>
        <w:rPr>
          <w:sz w:val="20"/>
        </w:rPr>
      </w:pPr>
    </w:p>
    <w:p>
      <w:pPr>
        <w:pStyle w:val="6"/>
        <w:rPr>
          <w:sz w:val="20"/>
        </w:rPr>
      </w:pPr>
    </w:p>
    <w:p>
      <w:pPr>
        <w:pStyle w:val="6"/>
        <w:spacing w:before="1"/>
        <w:rPr>
          <w:sz w:val="16"/>
        </w:rPr>
      </w:pPr>
    </w:p>
    <w:p>
      <w:pPr>
        <w:pStyle w:val="2"/>
        <w:bidi w:val="0"/>
        <w:jc w:val="center"/>
      </w:pPr>
      <w:r>
        <w:rPr>
          <w:rFonts w:hint="eastAsia"/>
        </w:rPr>
        <w:t>与CRS相关的常见问题</w:t>
      </w:r>
      <w:bookmarkStart w:id="0" w:name="_GoBack"/>
      <w:bookmarkEnd w:id="0"/>
    </w:p>
    <w:p>
      <w:pPr>
        <w:pStyle w:val="6"/>
        <w:spacing w:before="249"/>
        <w:ind w:left="2727" w:right="2726"/>
        <w:jc w:val="center"/>
      </w:pPr>
      <w:r>
        <w:rPr>
          <w:rFonts w:hint="eastAsia"/>
        </w:rPr>
        <w:t>（2019年2月）</w:t>
      </w:r>
    </w:p>
    <w:p>
      <w:pPr>
        <w:pStyle w:val="6"/>
        <w:rPr>
          <w:sz w:val="24"/>
        </w:rPr>
      </w:pPr>
    </w:p>
    <w:p>
      <w:pPr>
        <w:pStyle w:val="6"/>
        <w:spacing w:before="10"/>
        <w:rPr>
          <w:sz w:val="19"/>
        </w:rPr>
      </w:pPr>
    </w:p>
    <w:p>
      <w:pPr>
        <w:pStyle w:val="6"/>
        <w:spacing w:before="1"/>
        <w:ind w:left="119" w:right="116"/>
        <w:jc w:val="both"/>
      </w:pPr>
      <w:r>
        <w:rPr>
          <w:rFonts w:hint="eastAsia"/>
        </w:rPr>
        <w:t>经合组织维护并定期更新有关通用报告标准（CRS）应用的常见问题清单（FAQ）。这些常见问题解答来自企业和政府代表。此类问题的答案进一步提高了CRS的准确性，并有助于确保实施的一致性。有关CRS的更多信息，请参见</w:t>
      </w:r>
      <w:r>
        <w:fldChar w:fldCharType="begin"/>
      </w:r>
      <w:r>
        <w:instrText xml:space="preserve">HYPERLINK "http://www.oecd.org/tax/automatic-exchange/common-reporting-standard/" \h</w:instrText>
      </w:r>
      <w:r>
        <w:fldChar w:fldCharType="separate"/>
      </w:r>
      <w:r>
        <w:rPr>
          <w:rFonts w:hint="eastAsia"/>
          <w:color w:val="0000FF"/>
          <w:u w:val="single" w:color="0000FF"/>
        </w:rPr>
        <w:t>自动交换门户</w:t>
      </w:r>
      <w:r>
        <w:rPr>
          <w:rFonts w:hint="eastAsia"/>
        </w:rPr>
        <w:t>。</w:t>
      </w:r>
      <w:r>
        <w:fldChar w:fldCharType="end"/>
      </w:r>
    </w:p>
    <w:p>
      <w:pPr>
        <w:pStyle w:val="6"/>
        <w:spacing w:before="1"/>
        <w:rPr>
          <w:sz w:val="14"/>
        </w:rPr>
      </w:pPr>
    </w:p>
    <w:p>
      <w:pPr>
        <w:spacing w:before="91"/>
        <w:ind w:left="820"/>
        <w:rPr>
          <w:i/>
        </w:rPr>
      </w:pPr>
      <w:r>
        <w:pict>
          <v:group id="_x0000_s1026" o:spid="_x0000_s1026" o:spt="203" style="position:absolute;left:0pt;margin-left:29.15pt;margin-top:3.4pt;height:15.05pt;width:21.35pt;mso-position-horizontal-relative:page;z-index:251658240;mso-width-relative:page;mso-height-relative:page;" coordorigin="583,68" coordsize="427,301">
            <o:lock v:ext="edit"/>
            <v:rect id="_x0000_s1028" o:spid="_x0000_s1028" o:spt="1" style="position:absolute;left:591;top:75;height:286;width:412;" fillcolor="#FFFFCC" filled="t" stroked="f" coordsize="21600,21600">
              <v:path/>
              <v:fill on="t" focussize="0,0"/>
              <v:stroke on="f"/>
              <v:imagedata o:title=""/>
              <o:lock v:ext="edit"/>
            </v:rect>
            <v:rect id="_x0000_s1027" o:spid="_x0000_s1027" o:spt="1" style="position:absolute;left:591;top:75;height:286;width:412;" filled="f" coordsize="21600,21600">
              <v:path/>
              <v:fill on="f" focussize="0,0"/>
              <v:stroke/>
              <v:imagedata o:title=""/>
              <o:lock v:ext="edit"/>
            </v:rect>
          </v:group>
        </w:pict>
      </w:r>
      <w:r>
        <w:rPr>
          <w:rFonts w:hint="eastAsia"/>
          <w:i/>
        </w:rPr>
        <w:t>新的或更新的常见问题解答</w:t>
      </w:r>
    </w:p>
    <w:p>
      <w:pPr>
        <w:pStyle w:val="6"/>
        <w:spacing w:before="6"/>
        <w:rPr>
          <w:i/>
          <w:sz w:val="21"/>
        </w:r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92CDDC"/>
          </w:tcPr>
          <w:p>
            <w:pPr>
              <w:pStyle w:val="3"/>
              <w:bidi w:val="0"/>
              <w:jc w:val="center"/>
              <w:rPr>
                <w:b/>
              </w:rPr>
            </w:pPr>
            <w:r>
              <w:rPr>
                <w:rFonts w:hint="eastAsia"/>
                <w:sz w:val="24"/>
                <w:szCs w:val="24"/>
              </w:rPr>
              <w:t>第I</w:t>
            </w:r>
            <w:r>
              <w:rPr>
                <w:rFonts w:hint="eastAsia"/>
                <w:sz w:val="24"/>
                <w:szCs w:val="24"/>
                <w:lang w:eastAsia="zh-CN"/>
              </w:rPr>
              <w:t>节</w:t>
            </w:r>
            <w:r>
              <w:rPr>
                <w:rFonts w:hint="eastAsia"/>
                <w:sz w:val="24"/>
                <w:szCs w:val="24"/>
              </w:rPr>
              <w:t>：一般报告要求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1.报告余额或价值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72" w:hRule="atLeast"/>
        </w:trPr>
        <w:tc>
          <w:tcPr>
            <w:tcW w:w="10684" w:type="dxa"/>
          </w:tcPr>
          <w:p>
            <w:pPr>
              <w:pStyle w:val="14"/>
              <w:spacing w:before="194"/>
              <w:ind w:right="81"/>
              <w:rPr>
                <w:b/>
              </w:rPr>
            </w:pPr>
            <w:r>
              <w:rPr>
                <w:rFonts w:hint="eastAsia"/>
                <w:b/>
              </w:rPr>
              <w:t>如果金融机构不经常确定价值（例如，没有定期重新计算以向客户报告），应报告股权的余额或价值？</w:t>
            </w:r>
          </w:p>
          <w:p>
            <w:pPr>
              <w:pStyle w:val="14"/>
              <w:spacing w:before="108"/>
              <w:ind w:right="79"/>
            </w:pPr>
            <w:r>
              <w:rPr>
                <w:rFonts w:hint="eastAsia"/>
              </w:rPr>
              <w:t>该标准将在权益情况下的账户余额或价值定义为金融机构出于需要最频繁地确定价值的目的而计算出的价值（注释，第1节，A（4））。这个值是什么取决于具体事实。如果情况不同，例如，如果金融机构未以其他原因重新计算余额或价值，则可能是收购时的利息价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2.汇总和排除的帐户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49" w:hRule="atLeast"/>
        </w:trPr>
        <w:tc>
          <w:tcPr>
            <w:tcW w:w="10684" w:type="dxa"/>
          </w:tcPr>
          <w:p>
            <w:pPr>
              <w:pStyle w:val="14"/>
              <w:spacing w:before="194"/>
              <w:jc w:val="left"/>
              <w:rPr>
                <w:b/>
              </w:rPr>
            </w:pPr>
            <w:r>
              <w:rPr>
                <w:rFonts w:hint="eastAsia"/>
                <w:b/>
              </w:rPr>
              <w:t>应用汇总规则时是否需要包括排除帐户？</w:t>
            </w:r>
          </w:p>
          <w:p>
            <w:pPr>
              <w:pStyle w:val="14"/>
              <w:spacing w:before="111"/>
              <w:ind w:right="177"/>
              <w:jc w:val="left"/>
            </w:pPr>
            <w:r>
              <w:rPr>
                <w:rFonts w:hint="eastAsia"/>
              </w:rPr>
              <w:t>否。汇总规则是指财务帐户的汇总（第七节，C节）。金融帐户的定义特别排除了排除帐户（第八节，C（1））。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3.帐户持有人信息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40" w:hRule="atLeast"/>
        </w:trPr>
        <w:tc>
          <w:tcPr>
            <w:tcW w:w="10684" w:type="dxa"/>
          </w:tcPr>
          <w:p>
            <w:pPr>
              <w:pStyle w:val="14"/>
              <w:spacing w:before="117"/>
              <w:rPr>
                <w:b/>
              </w:rPr>
            </w:pPr>
            <w:r>
              <w:rPr>
                <w:rFonts w:hint="eastAsia"/>
                <w:b/>
              </w:rPr>
              <w:t>报告金融机构如何报告没有名字和姓氏的个人？</w:t>
            </w:r>
          </w:p>
          <w:p>
            <w:pPr>
              <w:pStyle w:val="14"/>
              <w:spacing w:before="110"/>
              <w:ind w:right="81"/>
            </w:pPr>
            <w:r>
              <w:rPr>
                <w:rFonts w:hint="eastAsia"/>
              </w:rPr>
              <w:t>CRS架构要求填写姓氏和名字的数据元素。如果个人的法定姓名是单名或单名，则姓氏数据元素应填写为“ NFN”（无名），姓氏字段应使用帐户持有人的姓氏填写。</w:t>
            </w:r>
          </w:p>
        </w:tc>
      </w:tr>
    </w:tbl>
    <w:p>
      <w:pPr>
        <w:sectPr>
          <w:footerReference r:id="rId3" w:type="default"/>
          <w:type w:val="continuous"/>
          <w:pgSz w:w="11920" w:h="16850"/>
          <w:pgMar w:top="700" w:right="380" w:bottom="860" w:left="380" w:header="720" w:footer="675" w:gutter="0"/>
          <w:pgNumType w:start="1"/>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 xml:space="preserve">4. </w:t>
            </w:r>
            <w:r>
              <w:rPr>
                <w:rFonts w:hint="eastAsia" w:ascii="宋体" w:hAnsi="宋体" w:eastAsia="宋体" w:cs="宋体"/>
                <w:b/>
              </w:rPr>
              <w:t>关于托管账户贷记或支付的销售收益的报告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08" w:hRule="atLeast"/>
        </w:trPr>
        <w:tc>
          <w:tcPr>
            <w:tcW w:w="10684" w:type="dxa"/>
          </w:tcPr>
          <w:p>
            <w:pPr>
              <w:pStyle w:val="14"/>
              <w:ind w:right="84"/>
              <w:rPr>
                <w:b/>
              </w:rPr>
            </w:pPr>
            <w:r>
              <w:rPr>
                <w:rFonts w:hint="eastAsia"/>
                <w:b/>
              </w:rPr>
              <w:t>第一节A（5）（b）项规定，在托管账户的情况下，应报告出售或赎回已支付或贷记到该账户的金融资产的总收益总额。</w:t>
            </w:r>
          </w:p>
          <w:p>
            <w:pPr>
              <w:pStyle w:val="14"/>
              <w:spacing w:before="121"/>
              <w:ind w:right="82"/>
              <w:rPr>
                <w:b/>
              </w:rPr>
            </w:pPr>
            <w:r>
              <w:rPr>
                <w:rFonts w:hint="eastAsia"/>
                <w:b/>
              </w:rPr>
              <w:t>当就托管账户付款或贷记这些总收益时，是否还需要报告这些总收益？</w:t>
            </w:r>
          </w:p>
          <w:p>
            <w:pPr>
              <w:pStyle w:val="14"/>
              <w:spacing w:before="111"/>
              <w:ind w:right="75"/>
            </w:pPr>
            <w:r>
              <w:rPr>
                <w:rFonts w:hint="eastAsia"/>
              </w:rPr>
              <w:t>是的，与第一节A（5）（a）分段所列的收入项目一样，报告根据A（5）（b）分段出售或赎回托管账户中金融资产的总收益如果这些总收入已支付或贷记到该帐户，以及该款项已被支付或贷记到该帐户，则需要第一节）。</w:t>
            </w:r>
          </w:p>
          <w:p>
            <w:pPr>
              <w:pStyle w:val="14"/>
              <w:spacing w:before="119"/>
              <w:ind w:right="81"/>
              <w:rPr>
                <w:rFonts w:hint="eastAsia" w:ascii="宋体" w:hAnsi="宋体" w:eastAsia="宋体" w:cs="宋体"/>
                <w:color w:val="000000"/>
                <w:sz w:val="30"/>
                <w:szCs w:val="30"/>
                <w:shd w:val="clear" w:color="auto" w:fill="D2E3FC"/>
              </w:rPr>
            </w:pPr>
            <w:r>
              <w:rPr>
                <w:rFonts w:hint="eastAsia"/>
              </w:rPr>
              <w:t>如果金融资产存放在托管账户中，则维护该托管账户的托管机构应报告出售或赎回此类金融资产的任何收入和总收入，而不论该账户向哪个账户支付或记</w:t>
            </w:r>
          </w:p>
          <w:p>
            <w:pPr>
              <w:pStyle w:val="14"/>
              <w:spacing w:before="119"/>
              <w:ind w:left="0" w:right="81"/>
              <w:rPr>
                <w:rFonts w:hint="eastAsia" w:eastAsiaTheme="minorEastAsia"/>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5.收集TIN的要求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04" w:hRule="atLeast"/>
        </w:trPr>
        <w:tc>
          <w:tcPr>
            <w:tcW w:w="10684" w:type="dxa"/>
          </w:tcPr>
          <w:p>
            <w:pPr>
              <w:pStyle w:val="14"/>
              <w:spacing w:before="115"/>
              <w:ind w:right="81"/>
              <w:rPr>
                <w:b/>
              </w:rPr>
            </w:pPr>
            <w:r>
              <w:rPr>
                <w:rFonts w:hint="eastAsia"/>
                <w:b/>
              </w:rPr>
              <w:t>关于第一节的评注第30段规定，对于未由其发行TIN的应报告人持有的应报告帐户，不需要报告TIN。如果金融机构要求应报告人获得并提供TIN，则该应报告人在其居住辖区有资格或可能有资格获得TIN（或功能等效物），但无需获得TIN和还没有获得TIN？</w:t>
            </w:r>
          </w:p>
          <w:p>
            <w:pPr>
              <w:pStyle w:val="14"/>
              <w:spacing w:before="108"/>
              <w:jc w:val="left"/>
            </w:pPr>
            <w:r>
              <w:rPr>
                <w:rFonts w:hint="eastAsia"/>
              </w:rPr>
              <w:t>没有。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4"/>
              <w:jc w:val="left"/>
              <w:rPr>
                <w:b/>
              </w:rPr>
            </w:pPr>
            <w:r>
              <w:rPr>
                <w:rFonts w:hint="eastAsia"/>
                <w:b/>
              </w:rPr>
              <w:t>6.间歇性分配给作为报告金融机构的信托的全权受益人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4" w:hRule="atLeast"/>
        </w:trPr>
        <w:tc>
          <w:tcPr>
            <w:tcW w:w="10684" w:type="dxa"/>
          </w:tcPr>
          <w:p>
            <w:pPr>
              <w:pStyle w:val="14"/>
              <w:ind w:right="76"/>
              <w:rPr>
                <w:b/>
              </w:rPr>
            </w:pPr>
            <w:r>
              <w:rPr>
                <w:rFonts w:hint="eastAsia"/>
                <w:b/>
              </w:rPr>
              <w:t>如果是金融机构的信托，则股权被视为是全部或部分信托的委托人或受益人的任何人持有。出于这些目的，如果受益人仅在日历年或其他适当的报告期内获得分配，则仅可从信托获得全权分配的受益人将被视为信托的受益人（请参阅第VIII（C）（4）节）及相关评论）。</w:t>
            </w:r>
          </w:p>
          <w:p>
            <w:pPr>
              <w:pStyle w:val="14"/>
              <w:spacing w:before="121"/>
              <w:ind w:right="81"/>
              <w:rPr>
                <w:b/>
              </w:rPr>
            </w:pPr>
            <w:r>
              <w:rPr>
                <w:rFonts w:hint="eastAsia"/>
                <w:b/>
              </w:rPr>
              <w:t>如果作为金融机构的信托的全权受益人在给定年份而不是在下一年从该信托获得分配，那么该次年没有分配的情况是否应视为帐户关闭？</w:t>
            </w:r>
          </w:p>
          <w:p>
            <w:pPr>
              <w:pStyle w:val="14"/>
              <w:spacing w:before="110"/>
              <w:ind w:right="79"/>
            </w:pPr>
            <w:r>
              <w:rPr>
                <w:rFonts w:hint="eastAsia"/>
              </w:rPr>
              <w:t>不可以，只要没有将受益人永久性地排除在信托的未来分配范围之外，那么没有分配将不会导致帐户关闭。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4"/>
              <w:jc w:val="left"/>
              <w:rPr>
                <w:b/>
              </w:rPr>
            </w:pPr>
            <w:r>
              <w:rPr>
                <w:rFonts w:hint="eastAsia"/>
                <w:b/>
              </w:rPr>
              <w:t>7.报告作为实体的定居者的控制人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49" w:hRule="atLeast"/>
        </w:trPr>
        <w:tc>
          <w:tcPr>
            <w:tcW w:w="10684" w:type="dxa"/>
          </w:tcPr>
          <w:p>
            <w:pPr>
              <w:pStyle w:val="14"/>
              <w:ind w:right="81"/>
              <w:rPr>
                <w:b/>
              </w:rPr>
            </w:pPr>
            <w:r>
              <w:rPr>
                <w:rFonts w:hint="eastAsia"/>
                <w:b/>
              </w:rPr>
              <w:t>该标准规定，在信托的设立人是实体的情况下，报告金融机构还必须确定该设立人的控制人并将其报告为控制人。是否仅在结算年度或随后的几年中识别并报告控制人？</w:t>
            </w:r>
          </w:p>
          <w:p>
            <w:pPr>
              <w:pStyle w:val="14"/>
              <w:spacing w:before="113"/>
              <w:ind w:right="79"/>
            </w:pPr>
            <w:r>
              <w:rPr>
                <w:rFonts w:hint="eastAsia"/>
              </w:rPr>
              <w:t>不仅在结案年度，而且在随后的所有年份中，都需要确定和报告财产授予人的控制人。</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8.信托账户关闭年度的报告要求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91" w:hRule="atLeast"/>
        </w:trPr>
        <w:tc>
          <w:tcPr>
            <w:tcW w:w="10684" w:type="dxa"/>
          </w:tcPr>
          <w:p>
            <w:pPr>
              <w:pStyle w:val="14"/>
              <w:jc w:val="left"/>
              <w:rPr>
                <w:b/>
              </w:rPr>
            </w:pPr>
            <w:r>
              <w:rPr>
                <w:rFonts w:hint="eastAsia"/>
                <w:b/>
              </w:rPr>
              <w:t>在关闭帐户的情况下要报告的财务活动是什么：</w:t>
            </w:r>
          </w:p>
          <w:p>
            <w:pPr>
              <w:pStyle w:val="14"/>
              <w:numPr>
                <w:ilvl w:val="0"/>
                <w:numId w:val="1"/>
              </w:numPr>
              <w:tabs>
                <w:tab w:val="left" w:pos="403"/>
              </w:tabs>
              <w:spacing w:before="122"/>
              <w:rPr>
                <w:b/>
              </w:rPr>
            </w:pPr>
            <w:r>
              <w:rPr>
                <w:rFonts w:hint="eastAsia"/>
                <w:b/>
              </w:rPr>
              <w:t>由报告金融机构的信托所维护？</w:t>
            </w:r>
          </w:p>
          <w:p>
            <w:pPr>
              <w:pStyle w:val="14"/>
              <w:numPr>
                <w:ilvl w:val="0"/>
                <w:numId w:val="1"/>
              </w:numPr>
              <w:tabs>
                <w:tab w:val="left" w:pos="415"/>
              </w:tabs>
              <w:spacing w:before="119"/>
              <w:ind w:left="414" w:hanging="308"/>
              <w:rPr>
                <w:b/>
              </w:rPr>
            </w:pPr>
            <w:r>
              <w:rPr>
                <w:rFonts w:hint="eastAsia"/>
                <w:b/>
              </w:rPr>
              <w:t>由报告金融机构维护的被动NFE信托？</w:t>
            </w:r>
          </w:p>
          <w:p>
            <w:pPr>
              <w:pStyle w:val="14"/>
              <w:spacing w:before="112"/>
              <w:ind w:right="177"/>
              <w:jc w:val="left"/>
            </w:pPr>
            <w:r>
              <w:rPr>
                <w:rFonts w:hint="eastAsia"/>
              </w:rPr>
              <w:t>在这两种情况下，要报告的财务活动都包括帐户关闭的事实和在相关报告期内向帐户持有人支付的总付款。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9.从不是应报告管辖权的控制人那里收集TIN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62" w:hRule="atLeast"/>
        </w:trPr>
        <w:tc>
          <w:tcPr>
            <w:tcW w:w="10684" w:type="dxa"/>
          </w:tcPr>
          <w:p>
            <w:pPr>
              <w:pStyle w:val="14"/>
              <w:ind w:right="80"/>
              <w:rPr>
                <w:b/>
              </w:rPr>
            </w:pPr>
            <w:r>
              <w:rPr>
                <w:rFonts w:hint="eastAsia"/>
                <w:b/>
              </w:rPr>
              <w:t>根据第VIII（D）（8）节，第VIII（A）（6）（b）节所述的非参与管辖金融机构的投资实体为被动NFE，且第V节或第C节中的尽职调查程序必须将第VI节应用于投资实体的帐户，以确定其帐户是否为可报告帐户。如果被动NFE具有一个或多个控制人（应报告人），则该帐户为应报告人。如果控制人不是应报告的管辖权人，是否需要收集该控制人的TIN？</w:t>
            </w:r>
          </w:p>
          <w:p>
            <w:pPr>
              <w:pStyle w:val="14"/>
              <w:spacing w:before="110"/>
              <w:ind w:right="77"/>
            </w:pPr>
            <w:r>
              <w:rPr>
                <w:rFonts w:hint="eastAsia"/>
              </w:rPr>
              <w:t>遵守国内法的规定，特别是关于标准附件5中反映的所谓“更广泛的方法”的规定，如果控制人不是应报告的管辖权人，则不需要从这样的控制人。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10.用于CRS的使用权资格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46" w:hRule="atLeast"/>
        </w:trPr>
        <w:tc>
          <w:tcPr>
            <w:tcW w:w="10684" w:type="dxa"/>
          </w:tcPr>
          <w:p>
            <w:pPr>
              <w:pStyle w:val="14"/>
              <w:jc w:val="left"/>
              <w:rPr>
                <w:b/>
              </w:rPr>
            </w:pPr>
            <w:r>
              <w:rPr>
                <w:rFonts w:hint="eastAsia"/>
                <w:b/>
              </w:rPr>
              <w:t>为了CRS目的，如何处理使用权（使用和从财产中获取利润的合法权利）？</w:t>
            </w:r>
          </w:p>
          <w:p>
            <w:pPr>
              <w:pStyle w:val="14"/>
              <w:spacing w:before="122" w:line="235" w:lineRule="auto"/>
              <w:ind w:right="177"/>
              <w:jc w:val="left"/>
            </w:pPr>
            <w:r>
              <w:rPr>
                <w:rFonts w:hint="eastAsia"/>
              </w:rPr>
              <w:t>出于尽职调查和报告目的，裸所有者（</w:t>
            </w:r>
            <w:r>
              <w:rPr>
                <w:rFonts w:hint="eastAsia" w:ascii="Calibri" w:hAnsi="Calibri"/>
              </w:rPr>
              <w:t>“</w:t>
            </w:r>
            <w:r>
              <w:rPr>
                <w:rFonts w:hint="eastAsia"/>
              </w:rPr>
              <w:t>nu-propri</w:t>
            </w:r>
            <w:r>
              <w:rPr>
                <w:rFonts w:hint="eastAsia" w:ascii="Calibri" w:hAnsi="Calibri"/>
              </w:rPr>
              <w:t>étaire”</w:t>
            </w:r>
            <w:r>
              <w:rPr>
                <w:rFonts w:hint="eastAsia"/>
              </w:rPr>
              <w:t>）和使用权（</w:t>
            </w:r>
            <w:r>
              <w:rPr>
                <w:rFonts w:hint="eastAsia" w:ascii="Calibri" w:hAnsi="Calibri"/>
              </w:rPr>
              <w:t>“</w:t>
            </w:r>
            <w:r>
              <w:rPr>
                <w:rFonts w:hint="eastAsia"/>
              </w:rPr>
              <w:t>usufruitier</w:t>
            </w:r>
            <w:r>
              <w:rPr>
                <w:rFonts w:hint="eastAsia" w:ascii="Calibri" w:hAnsi="Calibri"/>
              </w:rPr>
              <w:t>”</w:t>
            </w:r>
            <w:r>
              <w:rPr>
                <w:rFonts w:hint="eastAsia"/>
              </w:rPr>
              <w:t>）均可被视为联合账户持有人或信托的控制人。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11.正在清算中的报告金融机构的报告义务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23" w:hRule="atLeast"/>
        </w:trPr>
        <w:tc>
          <w:tcPr>
            <w:tcW w:w="10684" w:type="dxa"/>
          </w:tcPr>
          <w:p>
            <w:pPr>
              <w:pStyle w:val="14"/>
              <w:spacing w:before="115"/>
              <w:ind w:right="85"/>
              <w:rPr>
                <w:b/>
              </w:rPr>
            </w:pPr>
            <w:r>
              <w:rPr>
                <w:rFonts w:hint="eastAsia"/>
                <w:b/>
              </w:rPr>
              <w:t>正在清算或清算中的报告金融机构应如何履行CRS规定的尽职调查和报告义务？</w:t>
            </w:r>
          </w:p>
          <w:p>
            <w:pPr>
              <w:pStyle w:val="14"/>
              <w:spacing w:before="113"/>
              <w:ind w:right="83"/>
            </w:pPr>
            <w:r>
              <w:rPr>
                <w:rFonts w:hint="eastAsia"/>
              </w:rPr>
              <w:t>作为一般规则，根据尽职调查程序（第II（A）节），从确定金融账户之日起，将其视为应报告账户。可报告帐户一直保持可报告状态，直到其不再是可报告帐户为止（例如，由于该帐户已关闭）。如果由于报告金融机构的清算或清算而关闭了应报告账户，则与该账户有关的信息将保持每年可报告的状态，直到报告金融机构关闭该金融账户之日（第II（A）节的注释）清算或清算框架内的机构。</w:t>
            </w:r>
          </w:p>
          <w:p>
            <w:pPr>
              <w:pStyle w:val="14"/>
              <w:spacing w:before="117"/>
              <w:ind w:right="84"/>
            </w:pPr>
            <w:r>
              <w:rPr>
                <w:rFonts w:hint="eastAsia"/>
              </w:rPr>
              <w:t>在这方面，司法管辖区可以考虑到相关的国内法律规定，特别是在公司法和破产法方面，向清算或清算过程中如何履行其尽职调查和报告义务的行为提供进一步的指导。 。</w:t>
            </w:r>
          </w:p>
          <w:p>
            <w:pPr>
              <w:pStyle w:val="14"/>
              <w:spacing w:before="117"/>
              <w:ind w:right="86"/>
            </w:pPr>
            <w:r>
              <w:rPr>
                <w:rFonts w:hint="eastAsia"/>
              </w:rPr>
              <w:t>在这方面，一种选择是允许依赖第三方服务提供商，以确保报告金融机构的所有尽职调查和报告义务得到充分履行（第II（D）节）。</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92CDDC"/>
          </w:tcPr>
          <w:p>
            <w:pPr>
              <w:pStyle w:val="4"/>
              <w:bidi w:val="0"/>
              <w:jc w:val="center"/>
              <w:rPr>
                <w:b/>
              </w:rPr>
            </w:pPr>
            <w:r>
              <w:rPr>
                <w:rFonts w:hint="eastAsia"/>
              </w:rPr>
              <w:t>第II-VII节：尽职调查要求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 w:hRule="atLeast"/>
        </w:trPr>
        <w:tc>
          <w:tcPr>
            <w:tcW w:w="10684" w:type="dxa"/>
            <w:shd w:val="clear" w:color="auto" w:fill="DAEDF3"/>
          </w:tcPr>
          <w:p>
            <w:pPr>
              <w:pStyle w:val="14"/>
              <w:spacing w:before="194"/>
              <w:jc w:val="left"/>
              <w:rPr>
                <w:b/>
              </w:rPr>
            </w:pPr>
            <w:r>
              <w:rPr>
                <w:rFonts w:hint="eastAsia"/>
                <w:b/>
              </w:rPr>
              <w:t>1.书面证明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55" w:hRule="atLeast"/>
        </w:trPr>
        <w:tc>
          <w:tcPr>
            <w:tcW w:w="10684" w:type="dxa"/>
          </w:tcPr>
          <w:p>
            <w:pPr>
              <w:pStyle w:val="14"/>
              <w:ind w:right="83"/>
              <w:rPr>
                <w:b/>
              </w:rPr>
            </w:pPr>
            <w:r>
              <w:rPr>
                <w:rFonts w:hint="eastAsia"/>
                <w:b/>
              </w:rPr>
              <w:t>该标准是否要求报告金融机构保留作为其尽职调查程序一部分而收集的书面证据的纸质副本？</w:t>
            </w:r>
          </w:p>
          <w:p>
            <w:pPr>
              <w:pStyle w:val="14"/>
              <w:spacing w:before="109"/>
              <w:ind w:right="81"/>
            </w:pPr>
            <w:r>
              <w:rPr>
                <w:rFonts w:hint="eastAsia"/>
              </w:rPr>
              <w:t>不需要。报告金融机构不需要保留书面证据的纸质副本，但可以这样做（关于第八节的评注第157段）。报告财务机构可以保留单据证据的原始，经核证的副本或影印本，或保留经审查的文档类型的注释，文档的审查日期以及文档的标识号（如果有）（例如， ，护照号码）。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9" w:hRule="atLeast"/>
        </w:trPr>
        <w:tc>
          <w:tcPr>
            <w:tcW w:w="10684" w:type="dxa"/>
            <w:shd w:val="clear" w:color="auto" w:fill="DAEDF3"/>
          </w:tcPr>
          <w:p>
            <w:pPr>
              <w:pStyle w:val="14"/>
              <w:spacing w:before="194"/>
              <w:jc w:val="left"/>
              <w:rPr>
                <w:b/>
              </w:rPr>
            </w:pPr>
            <w:r>
              <w:rPr>
                <w:rFonts w:hint="eastAsia"/>
                <w:b/>
              </w:rPr>
              <w:t>2.居住地址测试–要求人工审核文件证据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12" w:hRule="atLeast"/>
        </w:trPr>
        <w:tc>
          <w:tcPr>
            <w:tcW w:w="10684" w:type="dxa"/>
          </w:tcPr>
          <w:p>
            <w:pPr>
              <w:pStyle w:val="14"/>
              <w:ind w:right="81"/>
              <w:rPr>
                <w:b/>
              </w:rPr>
            </w:pPr>
            <w:r>
              <w:rPr>
                <w:rFonts w:hint="eastAsia"/>
                <w:b/>
              </w:rPr>
              <w:t>《标准》中要求用文件证据确认居住地址的要求是否要求对帐户进行人工审核？</w:t>
            </w:r>
          </w:p>
          <w:p>
            <w:pPr>
              <w:pStyle w:val="14"/>
              <w:spacing w:before="112"/>
              <w:ind w:right="81"/>
            </w:pPr>
            <w:r>
              <w:rPr>
                <w:rFonts w:hint="eastAsia"/>
              </w:rPr>
              <w:t>该标准不需要纸质检查即可检查文件证据。通常，居住地址测试的要求是居住地址基于证件证据（第III节，B，（1）和相关的注释）。如果金融机构保留了如上所述的证明文件，或者制定了政策和程序来确保当前居住地址与所提供的证明文件上的地址相同，则报告金融机构将拥有满足居住地址测试的文件证据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10684" w:type="dxa"/>
            <w:shd w:val="clear" w:color="auto" w:fill="DAEDF3"/>
          </w:tcPr>
          <w:p>
            <w:pPr>
              <w:pStyle w:val="14"/>
              <w:spacing w:before="194"/>
              <w:jc w:val="left"/>
              <w:rPr>
                <w:b/>
              </w:rPr>
            </w:pPr>
            <w:r>
              <w:rPr>
                <w:rFonts w:hint="eastAsia"/>
                <w:b/>
              </w:rPr>
              <w:t>3.居住地址测试–两个居住地址</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10" w:hRule="atLeast"/>
        </w:trPr>
        <w:tc>
          <w:tcPr>
            <w:tcW w:w="10684" w:type="dxa"/>
          </w:tcPr>
          <w:p>
            <w:pPr>
              <w:pStyle w:val="14"/>
              <w:ind w:right="84"/>
              <w:rPr>
                <w:b/>
              </w:rPr>
            </w:pPr>
            <w:r>
              <w:rPr>
                <w:rFonts w:hint="eastAsia"/>
                <w:b/>
              </w:rPr>
              <w:t>在进行居住地址测试后，是否有可能确定帐户持有人有两个居住地址？</w:t>
            </w:r>
          </w:p>
          <w:p>
            <w:pPr>
              <w:pStyle w:val="14"/>
              <w:ind w:right="81"/>
            </w:pPr>
            <w:r>
              <w:rPr>
                <w:rFonts w:hint="eastAsia"/>
              </w:rPr>
              <w:t>是。只要满足所有适用于居住地址测试的条件（第III节，B，（1）和相关注释），那么居住地址测试就有可能找到两个地址。例如，对于在国家A中维护的银行帐户，在国家B的居民在国家B和国家C工作且有一半时间的情况下，银行可以拥有两个满足要求的地址。在这种情况下，可以寻求自我证明，也可以将帐户报告给所有有居住地址的应报告辖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4.依靠AML / KYC程序来识别控制人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16" w:hRule="atLeast"/>
        </w:trPr>
        <w:tc>
          <w:tcPr>
            <w:tcW w:w="10684" w:type="dxa"/>
          </w:tcPr>
          <w:p>
            <w:pPr>
              <w:pStyle w:val="14"/>
              <w:ind w:right="83"/>
              <w:rPr>
                <w:b/>
              </w:rPr>
            </w:pPr>
            <w:r>
              <w:rPr>
                <w:rFonts w:hint="eastAsia"/>
                <w:b/>
              </w:rPr>
              <w:t>对于帐户余额或总值不超过1,000,000美元的现有实体帐户，如果金融机构持有有关控制人姓名的信息而没有其他信息，则尽职调查和报告要求是什么？是否不需要按照适用的AML / KYC程序收集此类信息？</w:t>
            </w:r>
          </w:p>
          <w:p>
            <w:pPr>
              <w:pStyle w:val="14"/>
              <w:spacing w:before="112"/>
              <w:ind w:right="78"/>
            </w:pPr>
            <w:r>
              <w:rPr>
                <w:rFonts w:hint="eastAsia"/>
              </w:rPr>
              <w:t>该标准规定，对于余额或价值低于100万美元的帐户（应用汇总规则后），金融机构可依赖出于监管或客户关系目的而收集和维护的信息，包括AML / KYC程序以确定是否控制人是应报告人（第V，D，（2），c）节）。由于在给定的示例中，金融机构没有且不需要归档任何表明控制人可能是应报告人的信息，因此它无法记录控制人的住所，也无需报告该人为控制人。</w:t>
            </w:r>
          </w:p>
        </w:tc>
      </w:tr>
    </w:tbl>
    <w:p>
      <w:pPr>
        <w:sectPr>
          <w:pgSz w:w="11920" w:h="16850"/>
          <w:pgMar w:top="70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7" w:hRule="atLeast"/>
        </w:trPr>
        <w:tc>
          <w:tcPr>
            <w:tcW w:w="10684" w:type="dxa"/>
            <w:shd w:val="clear" w:color="auto" w:fill="DAEDF3"/>
          </w:tcPr>
          <w:p>
            <w:pPr>
              <w:pStyle w:val="14"/>
              <w:spacing w:before="194"/>
              <w:ind w:right="895"/>
              <w:jc w:val="left"/>
              <w:rPr>
                <w:b/>
              </w:rPr>
            </w:pPr>
            <w:r>
              <w:rPr>
                <w:rFonts w:hint="eastAsia"/>
                <w:b/>
              </w:rPr>
              <w:t>5.合法所有权链中具有金融机构的被动NFE的控制人身份识别</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506" w:hRule="atLeast"/>
        </w:trPr>
        <w:tc>
          <w:tcPr>
            <w:tcW w:w="10684" w:type="dxa"/>
          </w:tcPr>
          <w:p>
            <w:pPr>
              <w:pStyle w:val="14"/>
              <w:spacing w:before="115"/>
              <w:ind w:right="93"/>
              <w:rPr>
                <w:b/>
              </w:rPr>
            </w:pPr>
            <w:r>
              <w:rPr>
                <w:rFonts w:hint="eastAsia"/>
                <w:b/>
              </w:rPr>
              <w:t>为了确定被动NFE的控制人，CRS是否允许报告金融机构基于被动NFE与控制人之间的所有权链中没有报告金融机构来确定/报告该控制人。 ？</w:t>
            </w:r>
          </w:p>
          <w:p>
            <w:pPr>
              <w:pStyle w:val="14"/>
              <w:spacing w:before="112"/>
            </w:pPr>
            <w:r>
              <w:rPr>
                <w:rFonts w:hint="eastAsia"/>
              </w:rPr>
              <w:t>否。所有权实体中的中间实体的CRS状态与这些目的无关。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6.针对CRS的AML / KYC程序和尽职调查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7" w:hRule="atLeast"/>
        </w:trPr>
        <w:tc>
          <w:tcPr>
            <w:tcW w:w="10684" w:type="dxa"/>
          </w:tcPr>
          <w:p>
            <w:pPr>
              <w:pStyle w:val="14"/>
              <w:ind w:right="87"/>
              <w:rPr>
                <w:b/>
              </w:rPr>
            </w:pPr>
            <w:r>
              <w:rPr>
                <w:rFonts w:hint="eastAsia"/>
                <w:b/>
              </w:rPr>
              <w:t>关于第III-VII节中规定的尽职调查程序，金融机构将对AML / KYC程序进行更改会产生什么后果？</w:t>
            </w:r>
          </w:p>
          <w:p>
            <w:pPr>
              <w:pStyle w:val="14"/>
              <w:spacing w:before="119" w:line="237" w:lineRule="auto"/>
              <w:ind w:right="84"/>
            </w:pPr>
            <w:r>
              <w:rPr>
                <w:rFonts w:hint="eastAsia"/>
              </w:rPr>
              <w:t>第VIII（E）（2）节规定，术语</w:t>
            </w:r>
            <w:r>
              <w:rPr>
                <w:rFonts w:hint="eastAsia" w:ascii="Calibri" w:hAnsi="Calibri"/>
              </w:rPr>
              <w:t>“</w:t>
            </w:r>
            <w:r>
              <w:rPr>
                <w:rFonts w:hint="eastAsia"/>
              </w:rPr>
              <w:t>AML / KYC程序</w:t>
            </w:r>
            <w:r>
              <w:rPr>
                <w:rFonts w:hint="eastAsia" w:ascii="Calibri" w:hAnsi="Calibri"/>
              </w:rPr>
              <w:t xml:space="preserve">” </w:t>
            </w:r>
            <w:r>
              <w:rPr>
                <w:rFonts w:hint="eastAsia"/>
              </w:rPr>
              <w:t>是指根据报告金融机构所遵循的反洗钱或类似要求对报告金融机构进行的客户尽职调查程序。因此，为了执行第III-VII节的尽职调查程序，适用的AML / KYC程序是金融机构在给定的时间要接受的程序，只要对于新帐户，该程序与2012年FATF建议。</w:t>
            </w:r>
          </w:p>
          <w:p>
            <w:pPr>
              <w:pStyle w:val="14"/>
              <w:spacing w:before="124"/>
              <w:ind w:right="82"/>
            </w:pPr>
            <w:r>
              <w:rPr>
                <w:rFonts w:hint="eastAsia"/>
              </w:rPr>
              <w:t>如果对适用的AML / KYC程序进行了修订（例如，在执行新的FATF建议的司法管辖区中），则金融机构可能会被要求收集和维护该司法管辖区中用于AML / KYC的其他信息。出于第III-VII节规定的尽职调查程序的目的，并根据关于第III节的评注第17段，必须使用根据经修订的AML / KYC程序获得的其他信息来确定是否进行了更改与帐户持有人和/或控制人的身份和/或可报告状态有关的情况。</w:t>
            </w:r>
          </w:p>
          <w:p>
            <w:pPr>
              <w:pStyle w:val="14"/>
              <w:spacing w:before="117"/>
              <w:ind w:right="90"/>
            </w:pPr>
            <w:r>
              <w:rPr>
                <w:rFonts w:hint="eastAsia"/>
              </w:rPr>
              <w:t>如关于第七节的评注第4段所述，如果所获得的额外信息与某人通过自我证明提出的主张不一致，则情况有所变化，金融机构将有理由知道自我认证不可靠或不正确。</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7.金融机构建立税务居民的义务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147" w:hRule="atLeast"/>
        </w:trPr>
        <w:tc>
          <w:tcPr>
            <w:tcW w:w="10684" w:type="dxa"/>
          </w:tcPr>
          <w:p>
            <w:pPr>
              <w:pStyle w:val="14"/>
              <w:ind w:right="84"/>
              <w:rPr>
                <w:b/>
              </w:rPr>
            </w:pPr>
            <w:r>
              <w:rPr>
                <w:rFonts w:hint="eastAsia"/>
                <w:b/>
              </w:rPr>
              <w:t>根据新帐户程序，金融机构标准在建立其客户的税收居所方面有哪些义务？</w:t>
            </w:r>
          </w:p>
          <w:p>
            <w:pPr>
              <w:pStyle w:val="14"/>
              <w:spacing w:before="111"/>
              <w:ind w:right="77"/>
            </w:pPr>
            <w:r>
              <w:rPr>
                <w:rFonts w:hint="eastAsia"/>
              </w:rPr>
              <w:t>不需要金融机构向客户提供税务建议或进行法律分析以确定自我认证的合理性。相反，按照该标准的规定，对于新帐户，金融机构可以依靠客户做出的自我认证，除非它知道或有理由知道该自我认证是不正确或不可靠的（“合理性”测试） ，该信息将基于与开设帐户有关的信息，包括根据AML / KYC程序获得的任何文件。该标准提供了合理性测试的应用示例（第四节，A节和相关注释）。</w:t>
            </w:r>
          </w:p>
          <w:p>
            <w:pPr>
              <w:pStyle w:val="14"/>
              <w:spacing w:before="118"/>
              <w:ind w:right="75"/>
            </w:pPr>
            <w:r>
              <w:rPr>
                <w:rFonts w:hint="eastAsia"/>
              </w:rPr>
              <w:t>该标准还指出，预期参与的司法管辖区将有助于纳税人确定其住所并向其提供有关税收的信息（第四节评注的第6段和第六节评注的第9段） 。经合组织正在通过信息的集中分发（在自动交换门户上）促进这一进程。金融机构还可以引导客户使用此信息。</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8.TIN的验证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05" w:hRule="atLeast"/>
        </w:trPr>
        <w:tc>
          <w:tcPr>
            <w:tcW w:w="10684" w:type="dxa"/>
          </w:tcPr>
          <w:p>
            <w:pPr>
              <w:pStyle w:val="14"/>
              <w:ind w:right="83"/>
              <w:rPr>
                <w:b/>
              </w:rPr>
            </w:pPr>
            <w:r>
              <w:rPr>
                <w:rFonts w:hint="eastAsia"/>
                <w:b/>
              </w:rPr>
              <w:t>关于自我证明上提供的纳税人识别号（TIN），报告金融机构何时会知道或有理由知道自我证明不正确或不可靠？</w:t>
            </w:r>
          </w:p>
          <w:p>
            <w:pPr>
              <w:pStyle w:val="14"/>
              <w:spacing w:before="112"/>
              <w:ind w:left="107" w:right="78"/>
            </w:pPr>
            <w:r>
              <w:rPr>
                <w:rFonts w:hint="eastAsia"/>
              </w:rPr>
              <w:t>该标准规定，除非报告金融机构知道或有理由知道该自我认证是不正确或不可靠的，否则它可以依靠自我认证（第七节，A段和相关的评注）。除提供有关自我认证的其他信息外，这还包括与应报告管辖权有关的TIN。该标准期望参与管辖区将为报告金融机构提供有关TIN的发行，收集以及尽可能的实际结构和其他规范的信息（对第八节的注释，第149段）。经合组织将通过信息的集中分发（在自动交换门户上）促进这一进程。</w:t>
            </w:r>
          </w:p>
          <w:p>
            <w:pPr>
              <w:pStyle w:val="14"/>
              <w:spacing w:before="122"/>
              <w:ind w:right="72"/>
            </w:pPr>
            <w:r>
              <w:rPr>
                <w:rFonts w:hint="eastAsia"/>
              </w:rPr>
              <w:t>如果自认证不包含TIN，并且自动交易门户网站上包含的信息表明应报告司法管辖区向所有纳税居民签发TIN，则报告金融机构将有理由知道自认证不可靠或不正确。该标准不需要报告金融机构使用自动交易门户上提供的信息来确认TIN的格式和其他规格。但是，报告金融机构可能还是希望这样做，以提高收集到的信息的质量，并最大程度地减少与报告不正确的TIN有关的任何跟进工作的行政负担。在这种情况下，他们还可以使用提供TIN检查模块的区域和国家网站，以进一步验证自我认证中提供的TIN的准确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9.自我认证–表示“肯定”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8" w:hRule="atLeast"/>
        </w:trPr>
        <w:tc>
          <w:tcPr>
            <w:tcW w:w="10684" w:type="dxa"/>
          </w:tcPr>
          <w:p>
            <w:pPr>
              <w:pStyle w:val="14"/>
              <w:spacing w:before="117"/>
              <w:ind w:right="80"/>
              <w:rPr>
                <w:b/>
              </w:rPr>
            </w:pPr>
            <w:r>
              <w:rPr>
                <w:rFonts w:hint="eastAsia"/>
                <w:b/>
              </w:rPr>
              <w:t>根据本标准开立的自我认证要求有效，即必须由客户签署或积极确认（关于第四节的评注第7段）。应该如何理解“否则得到肯定”？</w:t>
            </w:r>
          </w:p>
          <w:p>
            <w:pPr>
              <w:pStyle w:val="14"/>
              <w:spacing w:before="112"/>
              <w:ind w:right="77"/>
            </w:pPr>
            <w:r>
              <w:rPr>
                <w:rFonts w:hint="eastAsia"/>
              </w:rPr>
              <w:t>如果进行自我认证的人向金融机构明确表示他们同意通过自我认证所作的陈述，则可以对自我认证予以肯定。在所有情况下，金融机构都希望能够以肯定的方式证明自我认证得到肯定肯定（例如，录音，数字足迹等）。金融机构用于获得自我认证的方法应与金融机构开立帐户所遵循的程序相一致。除了自我认证本身以外，金融机构还需要保留此过程的记录以用于审核。</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10.口头自我认证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16" w:hRule="atLeast"/>
        </w:trPr>
        <w:tc>
          <w:tcPr>
            <w:tcW w:w="10684" w:type="dxa"/>
          </w:tcPr>
          <w:p>
            <w:pPr>
              <w:pStyle w:val="14"/>
              <w:ind w:right="83"/>
              <w:rPr>
                <w:b/>
              </w:rPr>
            </w:pPr>
            <w:r>
              <w:rPr>
                <w:rFonts w:hint="eastAsia"/>
                <w:b/>
              </w:rPr>
              <w:t>该标准是否允许在根据该标准开设帐户时口头收集信息以进行自我认证？</w:t>
            </w:r>
          </w:p>
          <w:p>
            <w:pPr>
              <w:pStyle w:val="14"/>
              <w:spacing w:before="109"/>
              <w:ind w:right="74"/>
            </w:pPr>
            <w:r>
              <w:rPr>
                <w:rFonts w:hint="eastAsia"/>
              </w:rPr>
              <w:t>可以以任何方式和任何形式提供自我证明（例如，参见关于第四节的评注第9段）。因此，只要自我认证包含所有必需的信息（例如，参见第四节评注的第7段），并且该自我认证是由客户签署或肯定确认的，金融机构就可以口头收集填充或认证所需的信息。否则获得自我认证。金融机构用于获得自我认证的方法应与金融机构开立帐户所遵循的程序相一致。除了自我认证本身之外，金融机构还需要保留此过程的记录以用于审核。</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11.自我认证（是/否）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55" w:hRule="atLeast"/>
        </w:trPr>
        <w:tc>
          <w:tcPr>
            <w:tcW w:w="10684" w:type="dxa"/>
          </w:tcPr>
          <w:p>
            <w:pPr>
              <w:pStyle w:val="14"/>
              <w:rPr>
                <w:b/>
              </w:rPr>
            </w:pPr>
            <w:r>
              <w:rPr>
                <w:rFonts w:hint="eastAsia"/>
                <w:b/>
              </w:rPr>
              <w:t>该标准是否允许自我认证，以征询对税收居留问题的是/否回答？</w:t>
            </w:r>
          </w:p>
          <w:p>
            <w:pPr>
              <w:pStyle w:val="14"/>
              <w:spacing w:before="113"/>
              <w:ind w:right="77"/>
            </w:pPr>
            <w:r>
              <w:rPr>
                <w:rFonts w:hint="eastAsia"/>
              </w:rPr>
              <w:t>是。可以根据是/否响应完成自我认证，以记录客户的税收居住地管辖权，而无需填写空白字段。该标准没有规定必须如何收集关于税收居住地管辖权的信息，但是规定了不能预先填充有关税收居住地的信息（参见关于第四节的评论的第7和第8段）。例如，为了完成自我认证，可以询问客户开设账户的司法管辖区是否是账户持有人的唯一税收居住地，并且仅在回答为否时询问其他问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4"/>
              <w:jc w:val="left"/>
              <w:rPr>
                <w:b/>
              </w:rPr>
            </w:pPr>
            <w:r>
              <w:rPr>
                <w:rFonts w:hint="eastAsia"/>
                <w:b/>
              </w:rPr>
              <w:t>12.基于PoA提供的自我认证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49" w:hRule="atLeast"/>
        </w:trPr>
        <w:tc>
          <w:tcPr>
            <w:tcW w:w="10684" w:type="dxa"/>
          </w:tcPr>
          <w:p>
            <w:pPr>
              <w:pStyle w:val="14"/>
              <w:ind w:right="91"/>
              <w:rPr>
                <w:b/>
              </w:rPr>
            </w:pPr>
            <w:r>
              <w:rPr>
                <w:rFonts w:hint="eastAsia"/>
                <w:b/>
              </w:rPr>
              <w:t>该标准是否允许第三方根据授权书提供自我证明？</w:t>
            </w:r>
          </w:p>
          <w:p>
            <w:pPr>
              <w:pStyle w:val="14"/>
              <w:spacing w:before="111"/>
              <w:ind w:right="77"/>
            </w:pPr>
            <w:r>
              <w:rPr>
                <w:rFonts w:hint="eastAsia"/>
              </w:rPr>
              <w:t>如果账户持有人规定他人有权代表该账户持有人并代表他人作出决定（例如通过授权书），则该另一人也可以提供自我证明。</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13.知道的理由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8" w:hRule="atLeast"/>
        </w:trPr>
        <w:tc>
          <w:tcPr>
            <w:tcW w:w="10684" w:type="dxa"/>
          </w:tcPr>
          <w:p>
            <w:pPr>
              <w:pStyle w:val="14"/>
              <w:ind w:right="85"/>
              <w:rPr>
                <w:b/>
              </w:rPr>
            </w:pPr>
            <w:r>
              <w:rPr>
                <w:rFonts w:hint="eastAsia"/>
                <w:b/>
              </w:rPr>
              <w:t>如果信息中有影响帐户持有人身份的更改，自我证明是否应包含要求帐户持有人更新报告财务机构的语言？</w:t>
            </w:r>
          </w:p>
          <w:p>
            <w:pPr>
              <w:pStyle w:val="14"/>
              <w:spacing w:before="109"/>
              <w:ind w:right="80"/>
            </w:pPr>
            <w:r>
              <w:rPr>
                <w:rFonts w:hint="eastAsia"/>
              </w:rPr>
              <w:t>尽管这不是《标准》的要求，但报告金融机构可能希望（或可能要求某个特定管辖区的国内法要求）在从其账户持有人处收集的自我证明中包括这种语言，因为这可能会减少向金融机构报告合理性测试。根据合理性测试，如果报告金融机构知道或有理由知道自认证中包含的信息不可靠或不正确，则可以不依赖自认证。关于第七节第2-3段的评注。</w:t>
            </w:r>
          </w:p>
          <w:p>
            <w:pPr>
              <w:pStyle w:val="14"/>
              <w:spacing w:before="122"/>
              <w:ind w:right="84"/>
            </w:pPr>
            <w:r>
              <w:rPr>
                <w:rFonts w:hint="eastAsia"/>
              </w:rPr>
              <w:t>管辖区还可以考虑在其实施CRS的国内法中包括一项要求，要求账户持有人向报告金融机构提供自我证明，并通知报告金融机构，如果自我证明中所包含的信息发生变化，从而影响他们在CRS中的地位。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14.既有帐户持有人的新帐户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27" w:hRule="atLeast"/>
        </w:trPr>
        <w:tc>
          <w:tcPr>
            <w:tcW w:w="10684" w:type="dxa"/>
          </w:tcPr>
          <w:p>
            <w:pPr>
              <w:pStyle w:val="14"/>
              <w:ind w:right="81"/>
              <w:rPr>
                <w:b/>
              </w:rPr>
            </w:pPr>
            <w:r>
              <w:rPr>
                <w:rFonts w:hint="eastAsia"/>
                <w:b/>
              </w:rPr>
              <w:t>关于将现有客户的某些新帐户视为现有帐户的津贴，要求开设金融帐户不要求金融机构提供新的，额外的或修改的客户信息的要求范围有多大除用于CRS之外的帐户持有人？</w:t>
            </w:r>
          </w:p>
          <w:p>
            <w:pPr>
              <w:pStyle w:val="14"/>
              <w:spacing w:before="109"/>
              <w:ind w:right="78"/>
            </w:pPr>
            <w:r>
              <w:rPr>
                <w:rFonts w:hint="eastAsia"/>
              </w:rPr>
              <w:t>评注规定，某个司法管辖区可以允许报告金融机构将由持有该报告金融机构（或与报告金融机构在同一管辖范围内的相关实体）的帐户的账户持有人开立的新帐户视为现有帐户提供满足特定条件的帐户。这样的条件包括，除了出于CRS的目的之外，开设金融帐户不需要帐户持有人提供新的，额外的或修改的客户信息。见对第八节的评论，第82段。此条件应解释为包括以下任何情况：要求帐户持有人向报告金融机构提供新的，附加的或修改的客户信息（由于法律，法规，合同，运营或任何其他要求）开户。这种情况的基本原理是，此类实例为开户提供了获得自我认证以及新的，附加的或修改的客户信息的机会。</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15.关系经理测试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14" w:hRule="atLeast"/>
        </w:trPr>
        <w:tc>
          <w:tcPr>
            <w:tcW w:w="10684" w:type="dxa"/>
          </w:tcPr>
          <w:p>
            <w:pPr>
              <w:pStyle w:val="14"/>
              <w:ind w:right="89"/>
              <w:rPr>
                <w:b/>
              </w:rPr>
            </w:pPr>
            <w:r>
              <w:rPr>
                <w:rFonts w:hint="eastAsia"/>
                <w:b/>
              </w:rPr>
              <w:t>在实践中如何应用适用于该标准中包含的关系经理的知识测验标准？</w:t>
            </w:r>
          </w:p>
          <w:p>
            <w:pPr>
              <w:pStyle w:val="14"/>
              <w:spacing w:before="112"/>
              <w:ind w:right="76"/>
            </w:pPr>
            <w:r>
              <w:rPr>
                <w:rFonts w:hint="eastAsia"/>
              </w:rPr>
              <w:t>适用于客户关系经理的知识测验标准（例如，第III节，C（4）和相关的评注）可以通过定期（例如，每年）的指示进行操作，并由金融机构对其所有可能接受培训的员工进行培训根据《准则》（C（4）第三节评注第38至42段）被视为客户关系经理。这可能包括金融机构保存每个客户关系经理的答复记录，说明他们知道自己的义务，以及沟通任何理由以了解其管理该客户的帐户持有人是应报告人的理由。然后，金融机构可以按照标准要求的方式对这些通讯进行集中处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16.对服务提供商的依赖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71" w:hRule="atLeast"/>
        </w:trPr>
        <w:tc>
          <w:tcPr>
            <w:tcW w:w="10684" w:type="dxa"/>
          </w:tcPr>
          <w:p>
            <w:pPr>
              <w:pStyle w:val="14"/>
              <w:spacing w:before="117"/>
              <w:ind w:right="85"/>
              <w:rPr>
                <w:b/>
              </w:rPr>
            </w:pPr>
            <w:r>
              <w:rPr>
                <w:rFonts w:hint="eastAsia"/>
                <w:b/>
              </w:rPr>
              <w:t>该标准是否对使用服务提供商来满足CRS规定的报告金融机构的尽职调查和/或报告要求有任何限制？</w:t>
            </w:r>
          </w:p>
          <w:p>
            <w:pPr>
              <w:pStyle w:val="14"/>
              <w:spacing w:before="111"/>
              <w:ind w:right="77"/>
            </w:pPr>
            <w:r>
              <w:rPr>
                <w:rFonts w:hint="eastAsia"/>
              </w:rPr>
              <w:t>司法管辖区可以允许报告金融机构使用服务提供商来履行其报告和/或尽职调查义务。见关于第二节的评论，第6段。例如，该标准不要求服务提供者与报告金融机构位于同一管辖范围内，也不需要获得相关管辖区的批准才能充当服务提供者。评注确实规定，报告金融机构必须满足国内法中包含的要求，并将继续对其报告和尽职调查义务负责（即，服务提供商的行为应归咎于报告金融机构）。为了促进有效实施，司法辖区必须能够访问报告金融机构和服务提供商所依赖的相关记录和证据，以执行CRS中规定的报告和/或尽职调查程序。见关于第IX节的注释，第7-12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17.确定实体的CRS状态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8" w:hRule="atLeast"/>
        </w:trPr>
        <w:tc>
          <w:tcPr>
            <w:tcW w:w="10684" w:type="dxa"/>
          </w:tcPr>
          <w:p>
            <w:pPr>
              <w:pStyle w:val="14"/>
              <w:spacing w:before="115"/>
              <w:rPr>
                <w:b/>
              </w:rPr>
            </w:pPr>
            <w:r>
              <w:rPr>
                <w:rFonts w:hint="eastAsia"/>
                <w:b/>
              </w:rPr>
              <w:t>哪个管辖区的规则应适用于确定实体的状态？</w:t>
            </w:r>
          </w:p>
          <w:p>
            <w:pPr>
              <w:pStyle w:val="14"/>
              <w:spacing w:before="112"/>
              <w:ind w:left="107" w:right="76"/>
            </w:pPr>
            <w:r>
              <w:rPr>
                <w:rFonts w:hint="eastAsia"/>
              </w:rPr>
              <w:t>评注规定，应根据实体所在地的参与管辖区的法律解决实体作为金融机构或非金融实体（NFE）的身份。见关于第九节的评论，第2段。如果某个实体居住在尚未实施CRS的司法管辖区中，则由于没有其他可用规则，因此保留帐户的司法管辖区规则将确定该实体的金融机构或NFE身份。</w:t>
            </w:r>
          </w:p>
          <w:p>
            <w:pPr>
              <w:pStyle w:val="14"/>
              <w:spacing w:before="120"/>
              <w:ind w:right="79"/>
            </w:pPr>
            <w:r>
              <w:rPr>
                <w:rFonts w:hint="eastAsia"/>
              </w:rPr>
              <w:t>在将实体的状态确定为主动NFE或被动NFE时，维护帐户的辖区规则将确定该实体的状态。但是，账户开立的司法管辖区可以允许实体（例如，在其国内实施指南中）根据该实体所在司法辖区的规则确定其作为主动或被动NFE的地位。实体居民已实施CR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18.居住地址测试–作伪证的处罚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97" w:hRule="atLeast"/>
        </w:trPr>
        <w:tc>
          <w:tcPr>
            <w:tcW w:w="10684" w:type="dxa"/>
          </w:tcPr>
          <w:p>
            <w:pPr>
              <w:pStyle w:val="14"/>
              <w:spacing w:before="117"/>
              <w:ind w:right="177"/>
              <w:jc w:val="left"/>
              <w:rPr>
                <w:b/>
              </w:rPr>
            </w:pPr>
            <w:r>
              <w:rPr>
                <w:rFonts w:hint="eastAsia"/>
                <w:b/>
              </w:rPr>
              <w:t>第三部分的评注定义了在何种情况下可以使用居住地址测试。第10款提到了根据伪证处罚而签署的声明。“伪证处罚”是什么意思？</w:t>
            </w:r>
          </w:p>
          <w:p>
            <w:pPr>
              <w:pStyle w:val="14"/>
              <w:spacing w:before="108"/>
              <w:ind w:left="107"/>
              <w:jc w:val="left"/>
            </w:pPr>
            <w:r>
              <w:rPr>
                <w:rFonts w:hint="eastAsia"/>
              </w:rPr>
              <w:t>在本文中，“伪证罪”是指所有司法管辖区因在其法律中提供虚假声明而包括刑事性质的刑罚的情况。</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19.在固化过程中获得TIN的要求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62" w:hRule="atLeast"/>
        </w:trPr>
        <w:tc>
          <w:tcPr>
            <w:tcW w:w="10684" w:type="dxa"/>
          </w:tcPr>
          <w:p>
            <w:pPr>
              <w:pStyle w:val="14"/>
              <w:ind w:right="81"/>
              <w:rPr>
                <w:b/>
              </w:rPr>
            </w:pPr>
            <w:r>
              <w:rPr>
                <w:rFonts w:hint="eastAsia"/>
                <w:b/>
              </w:rPr>
              <w:t>如果帐户持有人的自我证明中包含税务识别号（TIN），则该报告金融机构是否需要确保该识别码存在（TIN），如果该自我证明是根据第B（6）条规定的固化程序的一部分获得的第三节指出帐户持有人是应报告人吗？</w:t>
            </w:r>
          </w:p>
          <w:p>
            <w:pPr>
              <w:pStyle w:val="14"/>
              <w:spacing w:before="110"/>
              <w:ind w:left="107" w:right="78"/>
            </w:pPr>
            <w:r>
              <w:rPr>
                <w:rFonts w:hint="eastAsia"/>
              </w:rPr>
              <w:t>在对现有帐户进行尽职调查的过程中，要求金融机构尽一切努力获得TIN。如果在固化过程中收到了自我证明，则这至少意味着金融机构要求帐户持有人提供包括TIN（如果适用）的自我证明。即使它不包含帐户持有人的TIN，金融机构也可以依靠这种自我证明，只要它继续尽合理的努力来获得TI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20.新实体帐户-依赖公开信息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3" w:hRule="atLeast"/>
        </w:trPr>
        <w:tc>
          <w:tcPr>
            <w:tcW w:w="10684" w:type="dxa"/>
          </w:tcPr>
          <w:p>
            <w:pPr>
              <w:pStyle w:val="14"/>
              <w:ind w:right="83"/>
              <w:rPr>
                <w:b/>
              </w:rPr>
            </w:pPr>
            <w:r>
              <w:rPr>
                <w:rFonts w:hint="eastAsia"/>
                <w:b/>
              </w:rPr>
              <w:t>第六节A（1）（a）项规定，金融机构需要获得自我证明，才能确定新实体帐户持有人的纳税居住地。然后，A（1）（b）项规定，如果自我证明表明新实体帐户持有人位于应报告司法管辖区，则除非金融机构根据以下理由合理确定，否则该帐户应被视为应报告帐户。就此应报告司法管辖区而言，新实体帐户持有人不是应报告人，其拥有的信息或可公开获得的信息。</w:t>
            </w:r>
          </w:p>
          <w:p>
            <w:pPr>
              <w:pStyle w:val="14"/>
              <w:spacing w:before="122"/>
              <w:ind w:right="81"/>
              <w:rPr>
                <w:b/>
              </w:rPr>
            </w:pPr>
            <w:r>
              <w:rPr>
                <w:rFonts w:hint="eastAsia"/>
                <w:b/>
              </w:rPr>
              <w:t>如果金融机构根据其拥有的信息或可公开获得的信息，知道新实体帐户持有人不是应报告人，无论其居住地如何（例如，因为它是一家公开交易的公司），金融机构是否仍需要从新实体帐户持有人那里获得自我认证？</w:t>
            </w:r>
          </w:p>
          <w:p>
            <w:pPr>
              <w:pStyle w:val="14"/>
              <w:spacing w:before="109"/>
              <w:ind w:right="77"/>
            </w:pPr>
            <w:r>
              <w:rPr>
                <w:rFonts w:hint="eastAsia"/>
              </w:rPr>
              <w:t>关于第六节的评注第6款规定，（A）（1）（a）款的步骤（即获得自我认证）和（A）（1）（b）款的步骤，即确认应报告状态人，可以采取任何一种顺序。因此，金融机构可以首先确定新实体帐户持有人是否为应报告人。如果发现新实体帐户持有人不是应报告人（例如，因为它是金融机构或公开交易的公司），则不需要金融机构从该新实体获得自我证明。 （A）（1）（a）项下的帐户持有人。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b/>
              </w:rPr>
              <w:t>21.</w:t>
            </w:r>
            <w:r>
              <w:rPr>
                <w:rFonts w:hint="eastAsia" w:ascii="宋体" w:hAnsi="宋体" w:eastAsia="宋体" w:cs="宋体"/>
                <w:b/>
              </w:rPr>
              <w:t>确定对控制人进行尽职调查的门槛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15" w:hRule="atLeast"/>
        </w:trPr>
        <w:tc>
          <w:tcPr>
            <w:tcW w:w="10684" w:type="dxa"/>
          </w:tcPr>
          <w:p>
            <w:pPr>
              <w:pStyle w:val="14"/>
              <w:ind w:right="79"/>
              <w:rPr>
                <w:b/>
              </w:rPr>
            </w:pPr>
            <w:r>
              <w:rPr>
                <w:rFonts w:hint="eastAsia"/>
                <w:b/>
              </w:rPr>
              <w:t>为了确定被动NFE的控制人是否是现有实体帐户的应报告人，根据第V节（D）（2）（c）的规定，报告金融机构只能依靠如果一个或多个NFE持有的该帐户的总余额不超过100万美元，则根据AML / KYC程序收集和维护的信息。为了确定适用于被动NFE的控制人的尽职调查程序，在什么时候确定100万美元的门槛？</w:t>
            </w:r>
          </w:p>
          <w:p>
            <w:pPr>
              <w:pStyle w:val="14"/>
              <w:spacing w:before="112"/>
              <w:ind w:right="81"/>
            </w:pPr>
            <w:r>
              <w:rPr>
                <w:rFonts w:hint="eastAsia"/>
              </w:rPr>
              <w:t>符合适用于在尽职调查程序框架中适用的阈值的一般规则，例如在第二节B款和第五节A，B和E（2）款中，应验证超过阈值的时间点是日历年的最后一天或其他适当的报告期。</w:t>
            </w:r>
          </w:p>
          <w:p>
            <w:pPr>
              <w:pStyle w:val="14"/>
              <w:spacing w:before="120"/>
              <w:jc w:val="left"/>
              <w:rPr>
                <w:i/>
              </w:rPr>
            </w:pPr>
            <w:r>
              <w:rPr>
                <w:rFonts w:hint="eastAsia"/>
                <w:i/>
                <w:u w:val="single"/>
              </w:rPr>
              <w:t>例：</w:t>
            </w:r>
          </w:p>
          <w:p>
            <w:pPr>
              <w:pStyle w:val="14"/>
              <w:spacing w:before="117"/>
              <w:ind w:left="107" w:right="83"/>
              <w:rPr>
                <w:rFonts w:hint="eastAsia" w:eastAsiaTheme="minorEastAsia"/>
                <w:i/>
              </w:rPr>
            </w:pPr>
            <w:r>
              <w:rPr>
                <w:rFonts w:hint="eastAsia"/>
                <w:i/>
              </w:rPr>
              <w:t>如果相关账户的账户余额在金融机构进行尽职调查之日为900,000美元，但在年底时为1,100,000美元，则为达到以下目的已超过了100万美元的门槛当年的尽职调查义务。</w:t>
            </w:r>
          </w:p>
          <w:p>
            <w:pPr>
              <w:pStyle w:val="14"/>
              <w:spacing w:before="117"/>
              <w:ind w:left="107" w:right="83"/>
              <w:rPr>
                <w:rFonts w:hint="eastAsia" w:eastAsiaTheme="minorEastAsia"/>
                <w:i/>
              </w:rPr>
            </w:pPr>
          </w:p>
          <w:p>
            <w:pPr>
              <w:pStyle w:val="14"/>
              <w:spacing w:before="194"/>
              <w:jc w:val="left"/>
              <w:rPr>
                <w:rFonts w:eastAsiaTheme="minorEastAsia"/>
                <w:i/>
              </w:rPr>
            </w:pP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22.自我认证的时间（</w:t>
            </w:r>
            <w:r>
              <w:rPr>
                <w:rFonts w:hint="eastAsia"/>
                <w:b/>
                <w:u w:val="thick"/>
                <w:shd w:val="clear" w:color="auto" w:fill="FFFF99"/>
              </w:rPr>
              <w:t>修订</w:t>
            </w:r>
            <w:r>
              <w:rPr>
                <w:rFonts w:hint="eastAsia"/>
                <w:b/>
              </w:rPr>
              <w:t>）</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33" w:hRule="atLeast"/>
        </w:trPr>
        <w:tc>
          <w:tcPr>
            <w:tcW w:w="10684" w:type="dxa"/>
          </w:tcPr>
          <w:p>
            <w:pPr>
              <w:pStyle w:val="14"/>
              <w:ind w:right="84"/>
              <w:rPr>
                <w:b/>
              </w:rPr>
            </w:pPr>
            <w:r>
              <w:rPr>
                <w:rFonts w:hint="eastAsia"/>
                <w:b/>
              </w:rPr>
              <w:t>关于新的个人和实体帐户，该标准规定，报告金融机构必须在开设帐户时获得自我认证。在这种情况下，是否期望报告金融机构仅在收到有效的自我证明后才能开设帐户？</w:t>
            </w:r>
          </w:p>
          <w:p>
            <w:pPr>
              <w:pStyle w:val="14"/>
              <w:spacing w:before="111"/>
              <w:ind w:right="77"/>
            </w:pPr>
            <w:r>
              <w:rPr>
                <w:rFonts w:hint="eastAsia"/>
              </w:rPr>
              <w:t>该标准规定，报告金融机构必须在开设账户时获得自我证明（第IV（A）和VI（A）节）。如果在开户时获得了自我认证，但由于是后台职能部门进行的“第二天”流程而无法完成自我认证的验证，则应在90天内对自我认证进行验证。在少数情况下，由于业务部门的特殊性，无法在开户流程的“第一天”获得自我证明，例如，已经从一个人手中分配了保险合同的情况下另一方或在二级市场上投资者获得投资信托的股份的情况下。在这种情况下，应在可行的情况下（无论如何在90天内）尽快获得并验证自我认证。鉴于获得新帐户的自认证是确保CRS有效的关键方面，因此，期望司法管辖区采取强有力的措施来确保始终为新帐户获得有效的自认证。在上述例外情况下，构成“强力措施”的内容可能因司法管辖区而异，应根据该措施的实际结果进行评估。确定哪种措施可以称为“强力措施”的关键测试是，这些措施是否对帐户持有人和/或金融机构产生足够强大的影响，以有效地确保按照以下规则确定并获得自我认证： CRS。因此，例如，可以预见在90天到期后将关闭或冻结帐户的措施，或者对金融机构和/或帐户持有人施加非常高的罚款，这些都可以构成“强有力的措施”。</w:t>
            </w:r>
          </w:p>
          <w:p>
            <w:pPr>
              <w:pStyle w:val="14"/>
              <w:spacing w:before="120"/>
              <w:ind w:right="80"/>
            </w:pPr>
            <w:r>
              <w:rPr>
                <w:rFonts w:hint="eastAsia"/>
              </w:rPr>
              <w:t>在所有情况下，报告金融机构均应确保其及时获得并验证了自我认证，以能够履行其在开设账户期间的尽职调查和报告义务。同时，根据第IX节的要求，CRS的有效实施要求辖区采取有效措施，以确保在获得有效的自我证明之前，报告财务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13" w:hRule="atLeast"/>
        </w:trPr>
        <w:tc>
          <w:tcPr>
            <w:tcW w:w="10684" w:type="dxa"/>
            <w:shd w:val="clear" w:color="auto" w:fill="DAEDF3"/>
          </w:tcPr>
          <w:p>
            <w:pPr>
              <w:pStyle w:val="14"/>
              <w:spacing w:before="194"/>
              <w:ind w:right="-10"/>
              <w:jc w:val="left"/>
              <w:rPr>
                <w:b/>
              </w:rPr>
            </w:pPr>
            <w:r>
              <w:rPr>
                <w:rFonts w:hint="eastAsia"/>
                <w:b/>
              </w:rPr>
              <w:t>23.在非参与司法管辖区以信托形式对广泛持有的CIV和养老基金的透支要求</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397" w:hRule="atLeast"/>
        </w:trPr>
        <w:tc>
          <w:tcPr>
            <w:tcW w:w="10684" w:type="dxa"/>
          </w:tcPr>
          <w:p>
            <w:pPr>
              <w:pStyle w:val="14"/>
              <w:spacing w:before="113"/>
              <w:ind w:right="82"/>
              <w:rPr>
                <w:b/>
              </w:rPr>
            </w:pPr>
            <w:r>
              <w:rPr>
                <w:rFonts w:hint="eastAsia"/>
                <w:b/>
              </w:rPr>
              <w:t>在根据第VI（2）节针对第VIII（A）（6）（b）节所述的非居民居民的投资实体确定</w:t>
            </w:r>
            <w:r>
              <w:rPr>
                <w:rFonts w:hint="eastAsia" w:ascii="Calibri" w:hAnsi="Calibri"/>
                <w:b/>
              </w:rPr>
              <w:t>“</w:t>
            </w:r>
            <w:r>
              <w:rPr>
                <w:rFonts w:hint="eastAsia"/>
                <w:b/>
              </w:rPr>
              <w:t>look的</w:t>
            </w:r>
            <w:r>
              <w:rPr>
                <w:rFonts w:hint="eastAsia" w:ascii="Calibri" w:hAnsi="Calibri"/>
                <w:b/>
              </w:rPr>
              <w:t xml:space="preserve">” </w:t>
            </w:r>
            <w:r>
              <w:rPr>
                <w:rFonts w:hint="eastAsia"/>
                <w:b/>
              </w:rPr>
              <w:t>look申请的一部分来确定新实体帐户的控制人时，参与管辖区是广泛持有，受监管的，信托类型的集体投资工具（CIV）或信托类型的养老基金，因此，报告金融机构需要超越根据国内AML / KYC程序收集和维护的信息。至少与特别组织建议书（2012年2月通过）的建议书10和25一致吗？</w:t>
            </w:r>
          </w:p>
          <w:p>
            <w:pPr>
              <w:pStyle w:val="14"/>
              <w:spacing w:before="112"/>
            </w:pPr>
            <w:r>
              <w:rPr>
                <w:rFonts w:hint="eastAsia"/>
              </w:rPr>
              <w:t>否，如关于第八节的评注第137段所规定。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0" w:hRule="atLeast"/>
        </w:trPr>
        <w:tc>
          <w:tcPr>
            <w:tcW w:w="10684" w:type="dxa"/>
            <w:shd w:val="clear" w:color="auto" w:fill="DAEDF3"/>
          </w:tcPr>
          <w:p>
            <w:pPr>
              <w:pStyle w:val="14"/>
              <w:spacing w:before="194"/>
              <w:jc w:val="left"/>
              <w:rPr>
                <w:b/>
              </w:rPr>
            </w:pPr>
            <w:r>
              <w:rPr>
                <w:b/>
              </w:rPr>
              <w:t>24.</w:t>
            </w:r>
            <w:r>
              <w:rPr>
                <w:rFonts w:hint="eastAsia" w:ascii="宋体" w:hAnsi="宋体" w:eastAsia="宋体" w:cs="宋体"/>
                <w:b/>
              </w:rPr>
              <w:t>将新帐户程序应用于现有帐户</w:t>
            </w:r>
            <w:r>
              <w:rPr>
                <w:b/>
              </w:rPr>
              <w:t>–</w:t>
            </w:r>
            <w:r>
              <w:rPr>
                <w:rFonts w:hint="eastAsia" w:ascii="宋体" w:hAnsi="宋体" w:eastAsia="宋体" w:cs="宋体"/>
                <w:b/>
              </w:rPr>
              <w:t>客户关系经理查询</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79" w:hRule="atLeast"/>
        </w:trPr>
        <w:tc>
          <w:tcPr>
            <w:tcW w:w="10684" w:type="dxa"/>
          </w:tcPr>
          <w:p>
            <w:pPr>
              <w:pStyle w:val="14"/>
              <w:ind w:right="84"/>
              <w:rPr>
                <w:b/>
              </w:rPr>
            </w:pPr>
            <w:r>
              <w:rPr>
                <w:rFonts w:hint="eastAsia"/>
                <w:b/>
              </w:rPr>
              <w:t>根据第II（E）节，司法管辖区可允许报告金融机构将新帐户的尽职调查程序也应用于现有帐户。在这种情况下，如果根据新帐户尽职调查程序获得了自我证明，那么报告金融机构是否需要进行客户关系经理查询？</w:t>
            </w:r>
          </w:p>
          <w:p>
            <w:pPr>
              <w:pStyle w:val="14"/>
              <w:spacing w:before="112"/>
              <w:ind w:right="82"/>
              <w:rPr>
                <w:rFonts w:hint="eastAsia" w:eastAsiaTheme="minorEastAsia"/>
              </w:rPr>
            </w:pPr>
            <w:r>
              <w:rPr>
                <w:rFonts w:hint="eastAsia"/>
              </w:rPr>
              <w:t>由于应用了新客户尽职调查程序，因此第三部分中提供的客户关系经理查询不适用，但是如果将客户关系经理分配给该客户，则该客户关系经理以及报告金融机构可能有理由知道自己-认证不可靠或不正确。根据第VII（A）节，如果报告金融机构有理由知道该自我认证不正确或不可靠，则报告金融机构不得依靠自我认证。关于第七节的评注的第3段解释说，如果报告财务机构对自我证明中包含的相关事实或陈述（包括对任何相关客户经理的了解）知道其自我证明是不可靠或不正确的，则有理由知道该自我证明不可靠或不正确。证明是这样的，即报告金融机构所处位置的合理，审慎的人会质疑提出的索赔。</w:t>
            </w:r>
          </w:p>
          <w:p>
            <w:pPr>
              <w:pStyle w:val="14"/>
              <w:spacing w:before="194"/>
              <w:jc w:val="left"/>
              <w:rPr>
                <w:rFonts w:eastAsiaTheme="minorEastAsia"/>
              </w:rPr>
            </w:pP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2" w:hRule="atLeast"/>
        </w:trPr>
        <w:tc>
          <w:tcPr>
            <w:tcW w:w="10684" w:type="dxa"/>
            <w:shd w:val="clear" w:color="auto" w:fill="DAEDF3"/>
          </w:tcPr>
          <w:p>
            <w:pPr>
              <w:pStyle w:val="14"/>
              <w:spacing w:before="194"/>
              <w:jc w:val="left"/>
              <w:rPr>
                <w:b/>
              </w:rPr>
            </w:pPr>
            <w:r>
              <w:rPr>
                <w:rFonts w:hint="eastAsia"/>
                <w:b/>
              </w:rPr>
              <w:t>25.确认自我认证的有效性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68" w:hRule="atLeast"/>
        </w:trPr>
        <w:tc>
          <w:tcPr>
            <w:tcW w:w="10684" w:type="dxa"/>
          </w:tcPr>
          <w:p>
            <w:pPr>
              <w:pStyle w:val="14"/>
              <w:ind w:right="89"/>
              <w:rPr>
                <w:b/>
              </w:rPr>
            </w:pPr>
            <w:r>
              <w:rPr>
                <w:rFonts w:hint="eastAsia"/>
                <w:b/>
              </w:rPr>
              <w:t>如果个人账户持有人通过自我证明表明他或她没有出于税收目的的住所管辖权，金融机构可以依靠其可支配的其他文件，特别是地址来确定出于税收目的的住所？</w:t>
            </w:r>
          </w:p>
          <w:p>
            <w:pPr>
              <w:pStyle w:val="14"/>
              <w:spacing w:before="113"/>
              <w:ind w:right="79"/>
            </w:pPr>
            <w:r>
              <w:rPr>
                <w:rFonts w:hint="eastAsia"/>
              </w:rPr>
              <w:t>根据第IV节中规定的一般原则，从帐户持有人获得自我证明时，金融机构必须根据其他文件（包括根据反洗钱收集的任何文件）确认自我证明的合理性/ KYC可使用的程序。例如，自我证明表明帐户持有人没有为税收目的而居住的事实，但文件中的其他文件包含地址，这一事实构成了怀疑自我证明有效性的原因。在这种情况下，并根据第四节评注的第25段，金融机构必须确保获得适当的合理解释和文件，以支持自我认证的合理性。如果金融机构未获得关于自认证的合理性的合理解释，则金融机构可能不会依赖自认证，而必须从帐户持有人那里获得新的有效自认证（另请参阅问题22）在第二至第七节）。</w:t>
            </w:r>
          </w:p>
          <w:p>
            <w:pPr>
              <w:pStyle w:val="14"/>
              <w:spacing w:before="117"/>
              <w:ind w:right="83"/>
            </w:pPr>
            <w:r>
              <w:rPr>
                <w:rFonts w:hint="eastAsia"/>
              </w:rPr>
              <w:t>第IX节要求司法管辖区制定合规性审查程序。金融机构可能希望通知其帐户持有人，作为此类程序的一部分，司法管辖区可能会监视和审查未作为自证明一部分显示税收居住地的帐户持有人。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26.确定实体的控制人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54" w:hRule="atLeast"/>
        </w:trPr>
        <w:tc>
          <w:tcPr>
            <w:tcW w:w="10684" w:type="dxa"/>
          </w:tcPr>
          <w:p>
            <w:pPr>
              <w:pStyle w:val="14"/>
              <w:ind w:right="80"/>
              <w:rPr>
                <w:rFonts w:ascii="Calibri" w:hAnsi="Calibri"/>
                <w:b/>
              </w:rPr>
            </w:pPr>
            <w:r>
              <w:rPr>
                <w:rFonts w:hint="eastAsia"/>
                <w:b/>
              </w:rPr>
              <w:t>CRS规定，“控制人”一词的解释方式必须与建议10和金融行动特别工作组（FATF）建议（建议VIII（D）（6）及相关评注）有关的建议10的解释性说明一致。 。关于建议10的解释性说明尤其指出，对于法人，应确定在该法人中拥有控股权的人。然后，对于公司法人，进一步规定了控制所有权权益的</w:t>
            </w:r>
            <w:r>
              <w:rPr>
                <w:rFonts w:hint="eastAsia" w:ascii="Calibri" w:hAnsi="Calibri"/>
                <w:b/>
              </w:rPr>
              <w:t>“</w:t>
            </w:r>
            <w:r>
              <w:rPr>
                <w:rFonts w:hint="eastAsia"/>
                <w:b/>
              </w:rPr>
              <w:t>取决于公司的所有权结构。它可以基于阈值，例如阈值。拥有公司一定比例以上（例如25％）的任何人。</w:t>
            </w:r>
          </w:p>
          <w:p>
            <w:pPr>
              <w:pStyle w:val="14"/>
              <w:spacing w:before="116"/>
              <w:ind w:right="83"/>
              <w:rPr>
                <w:b/>
              </w:rPr>
            </w:pPr>
            <w:r>
              <w:rPr>
                <w:rFonts w:hint="eastAsia"/>
                <w:b/>
              </w:rPr>
              <w:t>如果某司法管辖区在国内实施的《反洗钱金融行动特别工作组建议》规定，所有权下限应低于25％，以识别出于反洗钱/ KYC目的而控制公司的控股权，该司法管辖区可以允许受该国内反洗钱法约束的报告金融机构/ KYC要求是否仍将25％的门槛应用于CRS下的报告？</w:t>
            </w:r>
          </w:p>
          <w:p>
            <w:pPr>
              <w:pStyle w:val="14"/>
              <w:ind w:right="92"/>
            </w:pPr>
            <w:r>
              <w:rPr>
                <w:rFonts w:hint="eastAsia"/>
              </w:rPr>
              <w:t>CRS规定，为了确定帐户持有人的控制人，应遵守反洗钱或国内法中实施的类似要求以及报告金融机构所适用的AML / KYC程序。</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92CDDC"/>
          </w:tcPr>
          <w:p>
            <w:pPr>
              <w:pStyle w:val="5"/>
              <w:bidi w:val="0"/>
              <w:jc w:val="center"/>
              <w:rPr>
                <w:b/>
              </w:rPr>
            </w:pPr>
            <w:r>
              <w:rPr>
                <w:rFonts w:hint="eastAsia"/>
              </w:rPr>
              <w:t>第VIII节：定义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92CDDC"/>
          </w:tcPr>
          <w:p>
            <w:pPr>
              <w:pStyle w:val="14"/>
              <w:ind w:left="3067"/>
              <w:jc w:val="left"/>
              <w:rPr>
                <w:b/>
              </w:rPr>
            </w:pPr>
            <w:r>
              <w:rPr>
                <w:rFonts w:hint="eastAsia"/>
                <w:b/>
              </w:rPr>
              <w:t>A.报告金融机构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1.实体和现金池活动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797" w:hRule="atLeast"/>
        </w:trPr>
        <w:tc>
          <w:tcPr>
            <w:tcW w:w="10684" w:type="dxa"/>
          </w:tcPr>
          <w:p>
            <w:pPr>
              <w:pStyle w:val="14"/>
              <w:ind w:right="83"/>
              <w:rPr>
                <w:b/>
              </w:rPr>
            </w:pPr>
            <w:r>
              <w:rPr>
                <w:rFonts w:hint="eastAsia"/>
                <w:b/>
              </w:rPr>
              <w:t>通过汇总现金余额（包括正现金和赤字现金余额）（即现金池）来主要经营与以下业</w:t>
            </w:r>
            <w:r>
              <w:rPr>
                <w:rFonts w:hint="eastAsia"/>
                <w:b/>
                <w:i/>
              </w:rPr>
              <w:t>务</w:t>
            </w:r>
            <w:r>
              <w:rPr>
                <w:rFonts w:hint="eastAsia"/>
                <w:b/>
              </w:rPr>
              <w:t>无关的一个或多个相关实体的定期管理营运资金的实体的CRS状况如何？是否向非关联实体的任何实体提供此类现金池服务？</w:t>
            </w:r>
          </w:p>
          <w:p>
            <w:pPr>
              <w:pStyle w:val="14"/>
              <w:spacing w:before="112"/>
              <w:ind w:right="79"/>
            </w:pPr>
            <w:r>
              <w:rPr>
                <w:rFonts w:hint="eastAsia"/>
              </w:rPr>
              <w:t>为了确定从事现金池的实体的CRS状况，有必要考虑该实体是金融机构，或更具体地说是存款机构或投资实体，还是NFE。该标准将存款机构定义为在银行或类似业务的正常过程中接受存款的实体。见第八节（A）（5）分段和关于第八节的评注第12-14段。为了确定一个实体是否为存托机构，仅凭借一个或多个相关实体从事现金池的实体就不会由于这种活动而从事银行或类似业务。</w:t>
            </w:r>
          </w:p>
          <w:p>
            <w:pPr>
              <w:pStyle w:val="14"/>
              <w:spacing w:before="119"/>
              <w:ind w:right="76"/>
            </w:pPr>
            <w:r>
              <w:rPr>
                <w:rFonts w:hint="eastAsia"/>
              </w:rPr>
              <w:t>如果该实体不是托管机构，则该实体如果符合第VIII节（A）（6）项中对投资实体的定义，则该实体仍可能是金融机构，但该节明确规定投资实体不包含作为有效NFE的实体，因为它满足（D）（9）（d）至（g）项中的任何标准。</w:t>
            </w:r>
          </w:p>
          <w:p>
            <w:pPr>
              <w:pStyle w:val="14"/>
              <w:spacing w:before="121"/>
              <w:ind w:right="76"/>
            </w:pPr>
            <w:r>
              <w:rPr>
                <w:rFonts w:hint="eastAsia"/>
              </w:rPr>
              <w:t>第八节（D）（9）（g）项中描述的有效NFE包括主要从事与非金融机构的相关实体的融资和对冲交易的NFE，并且不提供融资或对冲服务非任何关联实体的实体，但任何此类关联实体的组主要从事金融机构以外的业务。见第八节，（D）（9）（g）项。由于通常执行现金池化以减少外债并代表相关实体增加可用流动性，因此就Active NFE定义而言，现金池将被视为融资交易。因此，一个实体代表一个或多个非金融机构的相关实体从事现金池，并且不向非相关实体的任何实体提供此类现金池服务，但前提是此类相关实体的组为主要从事金融机构以外的业务，将具有Active NFE的CRS身份。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2.控股公司或金融集团资金中心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775" w:hRule="atLeast"/>
        </w:trPr>
        <w:tc>
          <w:tcPr>
            <w:tcW w:w="10684" w:type="dxa"/>
          </w:tcPr>
          <w:p>
            <w:pPr>
              <w:pStyle w:val="14"/>
              <w:ind w:right="91"/>
              <w:rPr>
                <w:b/>
              </w:rPr>
            </w:pPr>
            <w:r>
              <w:rPr>
                <w:rFonts w:hint="eastAsia"/>
                <w:b/>
              </w:rPr>
              <w:t>在什么情况下（如果有的话），金融集团的控股公司或财资中心在CRS下将具有金融机构的地位吗？</w:t>
            </w:r>
          </w:p>
          <w:p>
            <w:pPr>
              <w:pStyle w:val="14"/>
              <w:spacing w:before="111"/>
              <w:ind w:right="76"/>
            </w:pPr>
            <w:r>
              <w:rPr>
                <w:rFonts w:hint="eastAsia"/>
              </w:rPr>
              <w:t>如果金融集团的控股公司或财资中心符合第八节A款中对金融机构的定义，则该金融机构的地位将为金融机构。因此，控股公司或财资中心是否具有金融机构的地位取决于事实和情况，尤其是有关其是否从事金融机构的特定活动或业务（定义见第八节A段）的信息，即使这些活动或业务仅代表相关实体进行，还是它的股东。例如，一个实体代表该实体的关联实体财务组进行外汇对冲以消除该组的外汇风险，只要满足投资实体定义的其他要求，该实体将符合金融机构的定义。如果控股公司作为或充当投资基金，私募股权基金，风险投资基金和类似的投资工具（如果投资者参与）（通过债务或债务）发挥作用，则控股公司也将符合金融机构的定义，特别是投资实体。通过控股公司投资计划中的股权）。见对第八节的评论，第20段。</w:t>
            </w:r>
          </w:p>
        </w:tc>
      </w:tr>
    </w:tbl>
    <w:p>
      <w:pPr>
        <w:sectPr>
          <w:pgSz w:w="11920" w:h="16850"/>
          <w:pgMar w:top="620" w:right="380" w:bottom="860" w:left="380" w:header="0" w:footer="675"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3.投资实体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6" w:hRule="atLeast"/>
        </w:trPr>
        <w:tc>
          <w:tcPr>
            <w:tcW w:w="10684" w:type="dxa"/>
          </w:tcPr>
          <w:p>
            <w:pPr>
              <w:pStyle w:val="14"/>
              <w:ind w:right="80"/>
              <w:rPr>
                <w:b/>
              </w:rPr>
            </w:pPr>
            <w:r>
              <w:rPr>
                <w:rFonts w:hint="eastAsia"/>
                <w:b/>
              </w:rPr>
              <w:t>在什么情况下，一个实体将由第三部分A（6）（a）项中所述的另一个实体（托管机构，保管机构，指定的保险公司或投资实体）管理？</w:t>
            </w:r>
          </w:p>
          <w:p>
            <w:pPr>
              <w:pStyle w:val="14"/>
              <w:spacing w:before="111"/>
              <w:ind w:right="76"/>
            </w:pPr>
            <w:r>
              <w:rPr>
                <w:rFonts w:hint="eastAsia"/>
              </w:rPr>
              <w:t>为了确定一个实体是否是第八节第（A）（6）（b）项中所述的投资实体，该评注规定，如果管理实体直接或通过管理实体执行，则该实体由另一个实体管理。服务提供商，代表被管理实体在（A）（6）（a）中描述的任何活动或运营。这些活动和操作包括货币市场工具的交易；外汇；汇率，利率和指数工具；可转让证券；或商品期货交易；个人和集体投资组合管理，或以其他方式代表他人投资，管理或管理金融资产或金钱。此外，管理实体必须具有酌处权来管理实体的资产（全部或部分）。见关于第八节的评论，第17段。</w:t>
            </w:r>
          </w:p>
          <w:p>
            <w:pPr>
              <w:pStyle w:val="14"/>
              <w:spacing w:before="121"/>
              <w:ind w:right="83"/>
            </w:pPr>
            <w:r>
              <w:rPr>
                <w:rFonts w:hint="eastAsia"/>
              </w:rPr>
              <w:t>例如，担任信托的注册办事处或注册代理人或提供与信托的金融资产或金钱无关的行政服务的私人信托公司，不从事第八节（A）项中所述的活动和运营。 （6）（a）代表信托，因此信托不受第八章（A）（b）（6）款含义内的私人信托公司的“管理”。</w:t>
            </w:r>
          </w:p>
          <w:p>
            <w:pPr>
              <w:pStyle w:val="14"/>
              <w:spacing w:before="122"/>
              <w:ind w:right="79"/>
            </w:pPr>
            <w:r>
              <w:rPr>
                <w:rFonts w:hint="eastAsia"/>
              </w:rPr>
              <w:t>同样，将全部或部分资产投资在共同基金，交易所交易基金或类似工具中的实体也不会被视为由共同基金，交易所交易基金或类似工具“管理”。</w:t>
            </w:r>
          </w:p>
          <w:p>
            <w:pPr>
              <w:pStyle w:val="14"/>
              <w:spacing w:before="120"/>
              <w:ind w:right="84"/>
            </w:pPr>
            <w:r>
              <w:rPr>
                <w:rFonts w:hint="eastAsia"/>
              </w:rPr>
              <w:t>在这两个示例中，都需要进一步确定该实体是否由另一个实体进行管理，以便确定第一个提及的实体是否属于投资实体的定义，如第八节第2段所述。 （A）（6）（b）。</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4.出于CRS的目的，依赖模型1 FATCA IGA对投资实体的定义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40" w:hRule="atLeast"/>
        </w:trPr>
        <w:tc>
          <w:tcPr>
            <w:tcW w:w="10684" w:type="dxa"/>
          </w:tcPr>
          <w:p>
            <w:pPr>
              <w:pStyle w:val="14"/>
              <w:ind w:right="86"/>
              <w:rPr>
                <w:b/>
              </w:rPr>
            </w:pPr>
            <w:r>
              <w:rPr>
                <w:rFonts w:hint="eastAsia"/>
                <w:b/>
              </w:rPr>
              <w:t>管辖区是否可以出于实施CRS的目的而依赖于模型1 FATCA IGA中使用的投资实体的定义？</w:t>
            </w:r>
          </w:p>
          <w:p>
            <w:pPr>
              <w:pStyle w:val="14"/>
              <w:spacing w:before="111"/>
              <w:ind w:right="88"/>
            </w:pPr>
            <w:r>
              <w:rPr>
                <w:rFonts w:hint="eastAsia"/>
              </w:rPr>
              <w:t>不可以，模型1 FATCA IGA第1（1）（j）条中的投资实体定义不能单独用于CRS，因为它的规定性不如VIII（A）（）部分中的投资实体定义6）。但是，可以一致地读取Model 1 FATCA IGA和CRS的定义。例如，CRS定义包括总收入测试，以确定某实体是否被视为主要从事一项业务（第A（6）（a）项中所述的一项或多项活动），或者Entity</w:t>
            </w:r>
            <w:r>
              <w:rPr>
                <w:rFonts w:hint="eastAsia" w:ascii="Calibri" w:hAnsi="Calibri"/>
              </w:rPr>
              <w:t>’</w:t>
            </w:r>
            <w:r>
              <w:rPr>
                <w:rFonts w:hint="eastAsia"/>
              </w:rPr>
              <w:t>的总收入主要可归因于就第A（6）（b）款而言，对金融资产进行投资，再投资或交易，并可用于解释Model 1 FATCA IGA定义的规定性较低的方面。CRS定义实际上基于美国FATCA法规中的“投资实体”定义，该定义可用于解释Model 1 FATCA IGA定义。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10684" w:type="dxa"/>
            <w:shd w:val="clear" w:color="auto" w:fill="DAEDF3"/>
          </w:tcPr>
          <w:p>
            <w:pPr>
              <w:pStyle w:val="14"/>
              <w:spacing w:before="194"/>
              <w:jc w:val="left"/>
              <w:rPr>
                <w:b/>
              </w:rPr>
            </w:pPr>
            <w:r>
              <w:rPr>
                <w:rFonts w:hint="eastAsia"/>
                <w:b/>
              </w:rPr>
              <w:t>5.房地产间接投资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62" w:hRule="atLeast"/>
        </w:trPr>
        <w:tc>
          <w:tcPr>
            <w:tcW w:w="10684" w:type="dxa"/>
          </w:tcPr>
          <w:p>
            <w:pPr>
              <w:pStyle w:val="14"/>
              <w:ind w:right="83"/>
              <w:rPr>
                <w:b/>
              </w:rPr>
            </w:pPr>
            <w:r>
              <w:rPr>
                <w:rFonts w:hint="eastAsia"/>
                <w:b/>
              </w:rPr>
              <w:t>如果主体的总收入主要归因于房地产的间接投资，那么该主体是否具有投资主体的地位？</w:t>
            </w:r>
          </w:p>
          <w:p>
            <w:pPr>
              <w:pStyle w:val="14"/>
              <w:spacing w:before="112"/>
              <w:ind w:right="78"/>
            </w:pPr>
            <w:r>
              <w:rPr>
                <w:rFonts w:hint="eastAsia"/>
              </w:rPr>
              <w:t>主要由于房地产的投资，再投资或交易而产生的总收入的实体不是投资实体（无论其是否由专业人士管理），因为房地产不是金融资产​​。见关于第八节的评论，第17段。相反，如果一个实体在直接拥有不动产的另一个实体中拥有权益，则第一个提及的实体所持有的权益是金融资产​​，并且应考虑该权益产生的总收入，以确定是否该实体将符合第VIII节（A）（6）（a）（iii）或（A）（6）（b）项中投资实体的定义。见第八节； （A）（7）项中金融资产的定义。</w:t>
            </w:r>
          </w:p>
        </w:tc>
      </w:tr>
    </w:tbl>
    <w:p>
      <w:pPr>
        <w:sectPr>
          <w:footerReference r:id="rId4" w:type="default"/>
          <w:pgSz w:w="11920" w:h="16850"/>
          <w:pgMar w:top="700" w:right="380" w:bottom="840" w:left="380" w:header="0" w:footer="644" w:gutter="0"/>
          <w:pgNumType w:start="13"/>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4"/>
              <w:jc w:val="left"/>
              <w:rPr>
                <w:b/>
              </w:rPr>
            </w:pPr>
            <w:r>
              <w:rPr>
                <w:rFonts w:hint="eastAsia"/>
                <w:b/>
              </w:rPr>
              <w:t>6.投资实体定义–由</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749" w:hRule="atLeast"/>
        </w:trPr>
        <w:tc>
          <w:tcPr>
            <w:tcW w:w="10684" w:type="dxa"/>
          </w:tcPr>
          <w:p>
            <w:pPr>
              <w:pStyle w:val="14"/>
              <w:ind w:right="84"/>
              <w:rPr>
                <w:b/>
              </w:rPr>
            </w:pPr>
            <w:r>
              <w:rPr>
                <w:rFonts w:hint="eastAsia"/>
                <w:b/>
              </w:rPr>
              <w:t>在第VIII（A）（6）（b）节的上下文中，“由...管理”的概念是否还包括一个实体拥有管理另一实体（全部或部分）资产的酌处权的情况，但没有管理第二个实体本身？</w:t>
            </w:r>
          </w:p>
          <w:p>
            <w:pPr>
              <w:pStyle w:val="14"/>
              <w:spacing w:before="113"/>
              <w:ind w:right="81"/>
            </w:pPr>
            <w:r>
              <w:rPr>
                <w:rFonts w:hint="eastAsia"/>
              </w:rPr>
              <w:t>是的，第VIII（A）（6）（b）节中的“由...管理”的概念还涵盖了一个实体拥有管理另一实体的资产（全部或部分）的酌处权，但不管理第二实体的资产的情况。实体本身。</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7.投资实体定义–实质性活动测试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04" w:hRule="atLeast"/>
        </w:trPr>
        <w:tc>
          <w:tcPr>
            <w:tcW w:w="10684" w:type="dxa"/>
          </w:tcPr>
          <w:p>
            <w:pPr>
              <w:pStyle w:val="14"/>
              <w:ind w:right="84"/>
              <w:rPr>
                <w:b/>
              </w:rPr>
            </w:pPr>
            <w:r>
              <w:rPr>
                <w:rFonts w:hint="eastAsia"/>
                <w:b/>
              </w:rPr>
              <w:t>在确定主体是否符合投资主体定义下的“ 50％总收入测试”时，是否可以按照非日历年会计期的最后一天应用三年测试，如“ 20监管机构的“总收入百分比测试”？</w:t>
            </w:r>
          </w:p>
          <w:p>
            <w:pPr>
              <w:pStyle w:val="14"/>
              <w:spacing w:before="113"/>
              <w:ind w:right="77"/>
            </w:pPr>
            <w:r>
              <w:rPr>
                <w:rFonts w:hint="eastAsia"/>
              </w:rPr>
              <w:t>是。根据为托管机构选择的方法，可以在非日历年会计期的最后一天应用为期三年的测试，以确定投资主体的定义是否符合“ 50％总收入测试”进行确定的年份的前一年的年份。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8.电子货币提供商-成为存款机构的资格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858" w:hRule="atLeast"/>
        </w:trPr>
        <w:tc>
          <w:tcPr>
            <w:tcW w:w="10684" w:type="dxa"/>
          </w:tcPr>
          <w:p>
            <w:pPr>
              <w:pStyle w:val="14"/>
              <w:rPr>
                <w:b/>
              </w:rPr>
            </w:pPr>
            <w:r>
              <w:rPr>
                <w:rFonts w:hint="eastAsia"/>
                <w:b/>
              </w:rPr>
              <w:t>用于CRS的电子货币提供商的状况如何？</w:t>
            </w:r>
          </w:p>
          <w:p>
            <w:pPr>
              <w:pStyle w:val="14"/>
              <w:spacing w:before="112"/>
              <w:ind w:right="87"/>
            </w:pPr>
            <w:r>
              <w:rPr>
                <w:rFonts w:hint="eastAsia"/>
              </w:rPr>
              <w:t>没有特殊的规则适用于电子货币提供商。与其他金融行业参与者一样，他们必须确定自己是否是CRS定义的金融机构。该决定将取决于事实和情况。例如，为了确定电子货币提供商是否是存托机构，必须参考第VIII（A）（5）节和相关评注（尤其是第13段）进行分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7" w:hRule="atLeast"/>
        </w:trPr>
        <w:tc>
          <w:tcPr>
            <w:tcW w:w="10684" w:type="dxa"/>
            <w:shd w:val="clear" w:color="auto" w:fill="FFFFCC"/>
          </w:tcPr>
          <w:p>
            <w:pPr>
              <w:pStyle w:val="14"/>
              <w:spacing w:before="8"/>
              <w:ind w:left="0"/>
              <w:jc w:val="left"/>
              <w:rPr>
                <w:i/>
                <w:sz w:val="20"/>
              </w:rPr>
            </w:pPr>
          </w:p>
          <w:p>
            <w:pPr>
              <w:pStyle w:val="14"/>
              <w:spacing w:before="0"/>
              <w:jc w:val="left"/>
              <w:rPr>
                <w:b/>
              </w:rPr>
            </w:pPr>
            <w:r>
              <w:rPr>
                <w:rFonts w:hint="eastAsia"/>
                <w:b/>
              </w:rPr>
              <w:t>9.公司受托人和SPV托管人的待遇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08" w:hRule="atLeast"/>
        </w:trPr>
        <w:tc>
          <w:tcPr>
            <w:tcW w:w="10684" w:type="dxa"/>
          </w:tcPr>
          <w:p>
            <w:pPr>
              <w:pStyle w:val="14"/>
              <w:spacing w:before="116"/>
              <w:ind w:right="89"/>
              <w:rPr>
                <w:b/>
              </w:rPr>
            </w:pPr>
            <w:r>
              <w:rPr>
                <w:rFonts w:hint="eastAsia"/>
                <w:b/>
              </w:rPr>
              <w:t>在某些情况下，专业的会计或律师事务所会为客户建立信托，并在此过程中指定公司受托人。然后，客户向会计或律师事务所支付与信托设立有关的所有服务，包括任命公司受托人和其他受托人服务。因此，公司受托人本身不会从其服务中获得直接报酬，因为这些服务是作为整体服务的一部分支付给会计或律师事务所的。</w:t>
            </w:r>
          </w:p>
          <w:p>
            <w:pPr>
              <w:pStyle w:val="14"/>
              <w:spacing w:before="118"/>
              <w:ind w:right="93"/>
              <w:rPr>
                <w:b/>
              </w:rPr>
            </w:pPr>
            <w:r>
              <w:rPr>
                <w:rFonts w:hint="eastAsia"/>
                <w:b/>
              </w:rPr>
              <w:t>有鉴于此，为了在投资实体和监管机构的定义范围内应用总收入测试，是否需要将进行相关活动的报酬支付给采用该测试的实体？</w:t>
            </w:r>
          </w:p>
          <w:p>
            <w:pPr>
              <w:pStyle w:val="14"/>
              <w:spacing w:before="112"/>
              <w:ind w:right="91"/>
            </w:pPr>
            <w:r>
              <w:rPr>
                <w:rFonts w:hint="eastAsia"/>
              </w:rPr>
              <w:t>否。为了在投资实体和监管机构的定义中应用总收入测试，应考虑与实体相关活动的所有报酬，而与该报酬是否直接支付给应用测试的实体或另一个实体。如果将提供托管服务的实体的费用支付给另一个实体，则在提供托管服务的实体的上下文中也会出现此问题。</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92CDDC"/>
          </w:tcPr>
          <w:p>
            <w:pPr>
              <w:pStyle w:val="14"/>
              <w:ind w:left="2791"/>
              <w:jc w:val="left"/>
              <w:rPr>
                <w:b/>
              </w:rPr>
            </w:pPr>
            <w:r>
              <w:rPr>
                <w:rFonts w:hint="eastAsia"/>
                <w:b/>
              </w:rPr>
              <w:t>B.不举报的金融机构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1.中央银行/国际组织/政府实体的地位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37" w:hRule="atLeast"/>
        </w:trPr>
        <w:tc>
          <w:tcPr>
            <w:tcW w:w="10684" w:type="dxa"/>
          </w:tcPr>
          <w:p>
            <w:pPr>
              <w:pStyle w:val="14"/>
              <w:spacing w:before="115"/>
              <w:ind w:right="84"/>
              <w:rPr>
                <w:b/>
              </w:rPr>
            </w:pPr>
            <w:r>
              <w:rPr>
                <w:rFonts w:hint="eastAsia"/>
                <w:b/>
              </w:rPr>
              <w:t>中央银行，国际组织或政府实体是否可以满足被归类为非报告金融机构和活跃NFE的要求，这不是不一致的吗？</w:t>
            </w:r>
          </w:p>
          <w:p>
            <w:pPr>
              <w:pStyle w:val="14"/>
              <w:spacing w:before="113"/>
              <w:ind w:right="79"/>
            </w:pPr>
            <w:r>
              <w:rPr>
                <w:rFonts w:hint="eastAsia"/>
              </w:rPr>
              <w:t>该标准如何适用于中央银行，国际组织或政府实体将取决于事实。NFE的定义明确排除了金融机构（第八节，D（7））。因此，第一个测试将是中央银行，国际组织或政府实体是否有资格成为金融机构。这是一项功能测试，取决于事实。如果中央银行，国际组织或政府实体被确定为金融机构，则只要符合标准中的要求（第（1），（2）款），就可以将其分类为非报告金融机构。 ，第VIII部分B的（3）和（4），以及相关的评注）。</w:t>
            </w:r>
          </w:p>
          <w:p>
            <w:pPr>
              <w:pStyle w:val="14"/>
              <w:spacing w:before="120"/>
              <w:ind w:right="81"/>
            </w:pPr>
            <w:r>
              <w:rPr>
                <w:rFonts w:hint="eastAsia"/>
              </w:rPr>
              <w:t>如果中央银行，国际组织或政府实体不符合被归类为金融机构的要求，则它将被称为NFE，因此将被归类为有效NFE（第VIII，D，（9）节和相关的评注）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2.低风险的非报告金融机构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402" w:hRule="atLeast"/>
        </w:trPr>
        <w:tc>
          <w:tcPr>
            <w:tcW w:w="10684" w:type="dxa"/>
          </w:tcPr>
          <w:p>
            <w:pPr>
              <w:pStyle w:val="14"/>
              <w:ind w:right="82"/>
              <w:rPr>
                <w:b/>
              </w:rPr>
            </w:pPr>
            <w:r>
              <w:rPr>
                <w:rFonts w:hint="eastAsia"/>
                <w:b/>
              </w:rPr>
              <w:t>低风险非报告性金融机构的特定管辖区域类别与正在与美国缔结的FATCA IGA附件2的内容之间有什么关系？</w:t>
            </w:r>
          </w:p>
          <w:p>
            <w:pPr>
              <w:pStyle w:val="14"/>
              <w:spacing w:before="111"/>
              <w:ind w:right="78"/>
            </w:pPr>
            <w:r>
              <w:rPr>
                <w:rFonts w:hint="eastAsia"/>
              </w:rPr>
              <w:t>该标准中的非报告金融机构类别（第八节，B节和相关注释）包括FATCA IGA范本附件2中包含的某些类型的机构。但是，在制定标准的过程中，决定FATCA IGA范本附件2中的某些类别在该标准的范围内不合适或不理想，因此不包括在内。这些类别包括：符合《条约》规定的退休基金，具有本地客户基础的金融机构，本地银行，仅具有低价值帐户的金融机构，受资助的投资实体和受控外国公司，受资助和紧密持有的投资工具。</w:t>
            </w:r>
          </w:p>
          <w:p>
            <w:pPr>
              <w:pStyle w:val="14"/>
              <w:spacing w:before="118"/>
              <w:ind w:right="76"/>
            </w:pPr>
            <w:r>
              <w:rPr>
                <w:rFonts w:hint="eastAsia"/>
              </w:rPr>
              <w:t>但是，人们已经认识到，可能存在特定于辖区的金融机构，这些机构可以合理地理解为与《标准》所包含类别相比具有较低的风险，但仍可能不属于《标准》所提供的类别。因此，提供了一个剩余类别，以使参与管辖区可以将这些特定于辖区的低风险金融机构明确标识为非报告金融机构，前提是它们符合标准中规定的要求（第VIII，B，（1），c节） ）和相关的评论）。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5"/>
              <w:jc w:val="left"/>
              <w:rPr>
                <w:b/>
              </w:rPr>
            </w:pPr>
            <w:r>
              <w:rPr>
                <w:rFonts w:hint="eastAsia"/>
                <w:b/>
              </w:rPr>
              <w:t>3.中央银行持有的存款账户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82" w:hRule="atLeast"/>
        </w:trPr>
        <w:tc>
          <w:tcPr>
            <w:tcW w:w="10684" w:type="dxa"/>
          </w:tcPr>
          <w:p>
            <w:pPr>
              <w:pStyle w:val="14"/>
              <w:spacing w:before="116"/>
              <w:ind w:right="83"/>
              <w:rPr>
                <w:b/>
              </w:rPr>
            </w:pPr>
            <w:r>
              <w:rPr>
                <w:rFonts w:hint="eastAsia"/>
                <w:b/>
              </w:rPr>
              <w:t>中央银行是非报告金融机构，但与指定保险公司，保管机构或存托机构从事的与商业金融活动有关的义务产生的付款除外。见第八节； B（1）（a）项。</w:t>
            </w:r>
          </w:p>
          <w:p>
            <w:pPr>
              <w:pStyle w:val="14"/>
              <w:spacing w:before="121"/>
              <w:ind w:right="80"/>
              <w:rPr>
                <w:b/>
              </w:rPr>
            </w:pPr>
            <w:r>
              <w:rPr>
                <w:rFonts w:hint="eastAsia"/>
                <w:b/>
              </w:rPr>
              <w:t>中央银行为其雇员开设的存款帐户是否会被视为与商业金融活动有关的义务，这将要求中央银行对诸如报告金融机构之类的帐户进行尽职调查和报告？</w:t>
            </w:r>
          </w:p>
          <w:p>
            <w:pPr>
              <w:pStyle w:val="14"/>
              <w:spacing w:before="113"/>
              <w:ind w:right="82"/>
            </w:pPr>
            <w:r>
              <w:rPr>
                <w:rFonts w:hint="eastAsia"/>
              </w:rPr>
              <w:t>不会。中央银行为现任或前雇员（及其雇员的配偶和子女）持有的存款帐户将不被视为与商业金融活动有关，因此，中央银行将成为具有以下条件的非报告金融机构：尊重此类财务帐户。</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7"/>
              <w:jc w:val="left"/>
              <w:rPr>
                <w:b/>
              </w:rPr>
            </w:pPr>
            <w:r>
              <w:rPr>
                <w:rFonts w:hint="eastAsia"/>
                <w:b/>
              </w:rPr>
              <w:t>4.广泛参与的退休基金的区间划分</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80" w:hRule="atLeast"/>
        </w:trPr>
        <w:tc>
          <w:tcPr>
            <w:tcW w:w="10684" w:type="dxa"/>
          </w:tcPr>
          <w:p>
            <w:pPr>
              <w:pStyle w:val="14"/>
              <w:spacing w:before="116"/>
              <w:ind w:right="82"/>
              <w:rPr>
                <w:b/>
              </w:rPr>
            </w:pPr>
            <w:r>
              <w:rPr>
                <w:rFonts w:hint="eastAsia"/>
                <w:b/>
              </w:rPr>
              <w:t>CRS的第VIII（B）（5）（a）节要求，为了使金融机构有资格在广泛参与退休基金类别下成为非报告金融机构，金融机构尤其需要，以确保没有一个受益人有权获得基金资产的百分之五以上。</w:t>
            </w:r>
          </w:p>
          <w:p>
            <w:pPr>
              <w:pStyle w:val="14"/>
              <w:spacing w:before="116"/>
              <w:ind w:right="82"/>
              <w:rPr>
                <w:b/>
              </w:rPr>
            </w:pPr>
            <w:r>
              <w:rPr>
                <w:rFonts w:hint="eastAsia"/>
                <w:b/>
              </w:rPr>
              <w:t>如果将基金划分为一些子基金，这些子基金实际上是作为单独的养老金产品而工作的，包括通过划分归因于这些子基金的资产，风险和收入，则在基金水平上是否适用5％的检验还是每个子基金的水平？</w:t>
            </w:r>
          </w:p>
          <w:p>
            <w:pPr>
              <w:pStyle w:val="14"/>
              <w:spacing w:before="112"/>
              <w:ind w:right="94"/>
            </w:pPr>
            <w:r>
              <w:rPr>
                <w:rFonts w:hint="eastAsia"/>
              </w:rPr>
              <w:t>在这种情况下，将在每个子基金的级别上测试单个受益人是否有权使用该基金资产的百分之五以上。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92CDDC"/>
          </w:tcPr>
          <w:p>
            <w:pPr>
              <w:pStyle w:val="14"/>
              <w:spacing w:before="117"/>
              <w:ind w:left="3999"/>
              <w:jc w:val="left"/>
              <w:rPr>
                <w:b/>
              </w:rPr>
            </w:pPr>
            <w:r>
              <w:rPr>
                <w:rFonts w:hint="eastAsia"/>
                <w:b/>
              </w:rPr>
              <w:t>C.财务帐户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1.债务利息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124" w:hRule="atLeast"/>
        </w:trPr>
        <w:tc>
          <w:tcPr>
            <w:tcW w:w="10684" w:type="dxa"/>
          </w:tcPr>
          <w:p>
            <w:pPr>
              <w:pStyle w:val="14"/>
              <w:spacing w:before="115"/>
              <w:ind w:right="84"/>
              <w:rPr>
                <w:b/>
              </w:rPr>
            </w:pPr>
            <w:r>
              <w:rPr>
                <w:rFonts w:hint="eastAsia"/>
                <w:b/>
              </w:rPr>
              <w:t>该准则规定，投资实体的财务账目是其债务和股权（第VIII，C，（1），a节和相关注释）。债务利息的定义是什么？</w:t>
            </w:r>
          </w:p>
          <w:p>
            <w:pPr>
              <w:pStyle w:val="14"/>
              <w:spacing w:before="111"/>
            </w:pPr>
            <w:r>
              <w:rPr>
                <w:rFonts w:hint="eastAsia"/>
              </w:rPr>
              <w:t>标准中未提供债务利息的定义。</w:t>
            </w:r>
          </w:p>
          <w:p>
            <w:pPr>
              <w:pStyle w:val="14"/>
              <w:spacing w:before="119"/>
              <w:ind w:right="81"/>
            </w:pPr>
            <w:r>
              <w:rPr>
                <w:rFonts w:hint="eastAsia"/>
              </w:rPr>
              <w:t>该标准规定，如果未定义术语，则其含义应与适用司法管辖区的当地法律相一致（标准主管当局协议第1节第2款）。因此，债务利息的定义由执行管辖权的当地法律确定。</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8" w:hRule="atLeast"/>
        </w:trPr>
        <w:tc>
          <w:tcPr>
            <w:tcW w:w="10684" w:type="dxa"/>
            <w:shd w:val="clear" w:color="auto" w:fill="DAEDF3"/>
          </w:tcPr>
          <w:p>
            <w:pPr>
              <w:pStyle w:val="14"/>
              <w:spacing w:before="194"/>
              <w:jc w:val="left"/>
              <w:rPr>
                <w:b/>
              </w:rPr>
            </w:pPr>
            <w:r>
              <w:rPr>
                <w:rFonts w:hint="eastAsia"/>
                <w:b/>
              </w:rPr>
              <w:t>2.排除帐户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03" w:hRule="atLeast"/>
        </w:trPr>
        <w:tc>
          <w:tcPr>
            <w:tcW w:w="10684" w:type="dxa"/>
          </w:tcPr>
          <w:p>
            <w:pPr>
              <w:pStyle w:val="14"/>
              <w:ind w:right="78"/>
              <w:rPr>
                <w:b/>
              </w:rPr>
            </w:pPr>
            <w:r>
              <w:rPr>
                <w:rFonts w:hint="eastAsia"/>
                <w:b/>
              </w:rPr>
              <w:t>该标准规定，如果满足第VIII节C（17）（c）项中所述的其他要求，则被保险人的寿险合同的有效期将在被保险人达到90岁之前终止。该排除条款应理解为涵盖定期人寿保险合同吗？</w:t>
            </w:r>
          </w:p>
          <w:p>
            <w:pPr>
              <w:pStyle w:val="14"/>
              <w:spacing w:before="111"/>
              <w:ind w:right="79"/>
            </w:pPr>
            <w:r>
              <w:rPr>
                <w:rFonts w:hint="eastAsia"/>
              </w:rPr>
              <w:t>是。该标准包括满足第八节C（17）（c）项规定条件的某些定期人寿保险合同，作为除外帐户。见关于第八节的评论，第86和91段使用了“定期人寿保险合同”一词。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3.排除帐户-休眠帐户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123" w:hRule="atLeast"/>
        </w:trPr>
        <w:tc>
          <w:tcPr>
            <w:tcW w:w="10684" w:type="dxa"/>
          </w:tcPr>
          <w:p>
            <w:pPr>
              <w:pStyle w:val="14"/>
              <w:jc w:val="left"/>
              <w:rPr>
                <w:b/>
              </w:rPr>
            </w:pPr>
            <w:r>
              <w:rPr>
                <w:rFonts w:hint="eastAsia"/>
                <w:b/>
              </w:rPr>
              <w:t>作为低风险除外帐户的示例，该标准提供了一个年度余额不超过1000美元的休眠帐户。见关于第八节的评注，第103段，例子6。</w:t>
            </w:r>
          </w:p>
          <w:p>
            <w:pPr>
              <w:pStyle w:val="14"/>
              <w:spacing w:before="121"/>
              <w:jc w:val="left"/>
              <w:rPr>
                <w:b/>
              </w:rPr>
            </w:pPr>
            <w:r>
              <w:rPr>
                <w:rFonts w:hint="eastAsia"/>
                <w:b/>
              </w:rPr>
              <w:t>鉴于提供了1000美元的门槛作为示例，选择将休眠账户作为低风险除外账户的司法管辖区可以在多大程度上确定更高的门槛？</w:t>
            </w:r>
          </w:p>
          <w:p>
            <w:pPr>
              <w:pStyle w:val="14"/>
              <w:spacing w:before="111"/>
              <w:jc w:val="left"/>
            </w:pPr>
            <w:r>
              <w:rPr>
                <w:rFonts w:hint="eastAsia"/>
              </w:rPr>
              <w:t>即使1000美元的金额只是指示性的，但预计选择将休眠帐户作为低风险排除帐户的司法管辖区也不会设定实质上超过该金额的门槛。</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4.场外交易衍生品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6" w:hRule="atLeast"/>
        </w:trPr>
        <w:tc>
          <w:tcPr>
            <w:tcW w:w="10684" w:type="dxa"/>
          </w:tcPr>
          <w:p>
            <w:pPr>
              <w:pStyle w:val="14"/>
              <w:ind w:right="83"/>
              <w:rPr>
                <w:b/>
              </w:rPr>
            </w:pPr>
            <w:r>
              <w:rPr>
                <w:rFonts w:hint="eastAsia"/>
                <w:b/>
              </w:rPr>
              <w:t>CRS中定义的金融资产包括“证券（例如，公司股份；在广泛持有或公开交易的合伙或信托中的合伙或实益拥有权益；票据，债券，债权证或其他证据债务，合伙权益，商品，掉期（例如，利率掉期，货币掉期，基础掉期，利率上限，利率下限，商品掉期，股票掉期，股票指数掉期和类似协议），保险合同或年金合同，或证券，合伙权益，商品，掉期，保险合同或年金合同的任何权益（包括期货或远期合同或期权）。”见第八节（A）（7）。</w:t>
            </w:r>
          </w:p>
          <w:p>
            <w:pPr>
              <w:pStyle w:val="14"/>
              <w:spacing w:before="121"/>
              <w:rPr>
                <w:b/>
              </w:rPr>
            </w:pPr>
            <w:r>
              <w:rPr>
                <w:rFonts w:hint="eastAsia"/>
                <w:b/>
              </w:rPr>
              <w:t>金融资产的定义是否包括场外衍生工具？</w:t>
            </w:r>
          </w:p>
          <w:p>
            <w:pPr>
              <w:pStyle w:val="14"/>
              <w:spacing w:before="112"/>
              <w:ind w:left="107" w:right="84"/>
            </w:pPr>
            <w:r>
              <w:rPr>
                <w:rFonts w:hint="eastAsia"/>
              </w:rPr>
              <w:t>是的，金融资产的定义不区分交易所交易（或上市）衍生产品或场外衍生产品。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5.排除帐户–替代要求–罚款制度</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74" w:hRule="atLeast"/>
        </w:trPr>
        <w:tc>
          <w:tcPr>
            <w:tcW w:w="10684" w:type="dxa"/>
          </w:tcPr>
          <w:p>
            <w:pPr>
              <w:pStyle w:val="14"/>
              <w:ind w:right="84"/>
              <w:rPr>
                <w:b/>
              </w:rPr>
            </w:pPr>
            <w:r>
              <w:rPr>
                <w:rFonts w:hint="eastAsia"/>
                <w:b/>
              </w:rPr>
              <w:t>根据第VIII节C（17）（g）项，只有在以下情况下，帐户才能被包括在特定辖区的低风险除外帐户列表中：（i）该帐户被用来逃税的风险很低，</w:t>
            </w:r>
          </w:p>
          <w:p>
            <w:pPr>
              <w:pStyle w:val="14"/>
              <w:spacing w:before="0"/>
              <w:ind w:right="84"/>
              <w:rPr>
                <w:b/>
              </w:rPr>
            </w:pPr>
            <w:r>
              <w:rPr>
                <w:rFonts w:hint="eastAsia"/>
                <w:b/>
              </w:rPr>
              <w:t>（ii）该帐户具有与标准所预计的排除重音类别基本相似的特征，（iii）该帐户被国内法定义为“排除帐户”，并且（iv）该帐户作为“排除帐户”的状态不会影响该帐户本标准的目的。</w:t>
            </w:r>
          </w:p>
          <w:p>
            <w:pPr>
              <w:pStyle w:val="14"/>
              <w:spacing w:before="121"/>
              <w:ind w:right="81"/>
              <w:rPr>
                <w:b/>
              </w:rPr>
            </w:pPr>
            <w:r>
              <w:rPr>
                <w:rFonts w:hint="eastAsia"/>
                <w:b/>
              </w:rPr>
              <w:t>在这种情况下，第八节评注的第103段载有关于要求（ii）的示例，其中指出了对从年金合同中提早提取的罚款制度（如高额固定税）。根据C（17）（a）项进行的帐户可以提出替代要求，即不限制对该年金合同的供款。</w:t>
            </w:r>
          </w:p>
          <w:p>
            <w:pPr>
              <w:pStyle w:val="14"/>
              <w:spacing w:before="121"/>
              <w:ind w:right="81"/>
              <w:rPr>
                <w:b/>
              </w:rPr>
            </w:pPr>
            <w:r>
              <w:rPr>
                <w:rFonts w:hint="eastAsia"/>
                <w:b/>
              </w:rPr>
              <w:t>特别是鉴于年金合同的帐户持有人可能出于税收目的而不是在签发年金合同的金融机构的管辖区居民的事实，如何解释这个例子？</w:t>
            </w:r>
          </w:p>
          <w:p>
            <w:pPr>
              <w:pStyle w:val="14"/>
              <w:spacing w:before="107"/>
              <w:ind w:right="74"/>
            </w:pPr>
            <w:r>
              <w:rPr>
                <w:rFonts w:hint="eastAsia"/>
              </w:rPr>
              <w:t>对于向非居民签发年金合同的金融机构的管辖权提早撤回的处罚制度，必须确保金融机构的管辖权可以有效地征收此类罚款。特别是，金融机构的管辖权应确保适用的国际税法，包括其《避免双重征税公约》，不会阻止对此类罚款的有效征收。</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6.排除帐户–替代要求–向税务机关报告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43" w:hRule="atLeast"/>
        </w:trPr>
        <w:tc>
          <w:tcPr>
            <w:tcW w:w="10684" w:type="dxa"/>
          </w:tcPr>
          <w:p>
            <w:pPr>
              <w:pStyle w:val="14"/>
              <w:ind w:right="81"/>
              <w:rPr>
                <w:b/>
              </w:rPr>
            </w:pPr>
            <w:r>
              <w:rPr>
                <w:rFonts w:hint="eastAsia"/>
                <w:b/>
              </w:rPr>
              <w:t>在排除帐户的情况下，与帐户有关的信息需要报告给税务机关这一事实构成了低风险指标，这在准备根据特定司法管辖区的低风险排除帐户清单时是这样的第八节C（17）（g）项，以及根据第八节C（17）（a）的资格将退休或养老金帐户定为除外帐户的特征。</w:t>
            </w:r>
          </w:p>
          <w:p>
            <w:pPr>
              <w:pStyle w:val="14"/>
              <w:spacing w:before="120"/>
              <w:ind w:right="82"/>
              <w:rPr>
                <w:b/>
              </w:rPr>
            </w:pPr>
            <w:r>
              <w:rPr>
                <w:rFonts w:hint="eastAsia"/>
                <w:b/>
              </w:rPr>
              <w:t>是否需要将与帐户有关的信息报告给报告金融机构所在辖区的监管和/或社会保障机构这一事实，是否具有与“排除帐户”资格相同的实质上相似的特征？</w:t>
            </w:r>
          </w:p>
          <w:p>
            <w:pPr>
              <w:pStyle w:val="14"/>
              <w:spacing w:before="111"/>
              <w:ind w:right="74"/>
            </w:pPr>
            <w:r>
              <w:rPr>
                <w:rFonts w:hint="eastAsia"/>
              </w:rPr>
              <w:t>与账户有关的信息需要报告给报告金融机构管辖范围内的监管和/或社会保障机构这一事实，在与相关国内法相符的范围内，仅代表了基本相似的特征。此类信息可随时提供给报告金融机构辖区的税务机关。</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7.排除帐户-低价值电子货币帐户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32" w:hRule="atLeast"/>
        </w:trPr>
        <w:tc>
          <w:tcPr>
            <w:tcW w:w="10684" w:type="dxa"/>
          </w:tcPr>
          <w:p>
            <w:pPr>
              <w:pStyle w:val="14"/>
              <w:ind w:right="92"/>
              <w:rPr>
                <w:b/>
              </w:rPr>
            </w:pPr>
            <w:r>
              <w:rPr>
                <w:rFonts w:hint="eastAsia"/>
                <w:b/>
              </w:rPr>
              <w:t>根据第VIII（C）（17）（g）节的规定，在什么情况下可以将电子货币帐户（即存款帐户）排除在外？</w:t>
            </w:r>
          </w:p>
          <w:p>
            <w:pPr>
              <w:pStyle w:val="14"/>
              <w:ind w:right="89"/>
            </w:pPr>
            <w:r>
              <w:rPr>
                <w:rFonts w:hint="eastAsia"/>
              </w:rPr>
              <w:t>金融帐户是电子货币帐户这一事实本身并不能使该金融帐户在其国内法中被司法管辖区指定为低风险除外帐户。为了根据第VIII（C）（17）（g）条的规定，根据执行管辖区的国内法将此类金融帐户指定为“排除帐户”，该管辖区需要确保这些帐户在用于以下目的时具有较低的风险逃税具有与另一类除外帐户大致相同的特征，并且其作为例外帐户的身份不会影响CRS的目的。关于第VIII（C）（17）（g）节的评论提供了此类低风险特定于司法管辖区的排除帐户的示例。</w:t>
            </w:r>
          </w:p>
          <w:p>
            <w:pPr>
              <w:pStyle w:val="14"/>
              <w:spacing w:before="116"/>
              <w:ind w:right="91"/>
            </w:pPr>
            <w:r>
              <w:rPr>
                <w:rFonts w:hint="eastAsia"/>
              </w:rPr>
              <w:t>作为金融包容性背景下的低风险排除帐户的示例，示例5指出，存管帐户受制于（i）提供规定和有限服务以增加金融包容性的金融法规（ii），每月存款不得超过1250美元，并且（iii）已允许金融机构采用与FATF建议一致的简化AML / KYC程序，这可能是低风险的除外帐户。</w:t>
            </w:r>
          </w:p>
          <w:p>
            <w:pPr>
              <w:pStyle w:val="14"/>
              <w:spacing w:before="118"/>
              <w:ind w:right="86"/>
            </w:pPr>
            <w:r>
              <w:rPr>
                <w:rFonts w:hint="eastAsia"/>
              </w:rPr>
              <w:t>只要电子货币帐户受到监管并符合第VIII（C）（17）（g）节的要求，实施辖区就可以将其定义为“排除帐户”。上述示例可以就金融普惠的背景何时满足第VIII（C）（17）（g）节的要求提供进一步的说明性指导。</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8.对于举报金融机构的广泛持有的CIV，确定股权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17" w:hRule="atLeast"/>
        </w:trPr>
        <w:tc>
          <w:tcPr>
            <w:tcW w:w="10684" w:type="dxa"/>
          </w:tcPr>
          <w:p>
            <w:pPr>
              <w:pStyle w:val="14"/>
              <w:ind w:right="86"/>
              <w:rPr>
                <w:b/>
              </w:rPr>
            </w:pPr>
            <w:r>
              <w:rPr>
                <w:rFonts w:hint="eastAsia"/>
                <w:b/>
              </w:rPr>
              <w:t>某些报告金融机构的CIV以信托形式组织，具有公开提供的CIV的特征：受托人和受益人是不相关的当事方； CIV中的利益是统一的； CIV必须保留注册单位持有人的最新登记册；某些注册单位持有人是监管机构，他们代表投资者在托管账户中在CIV中维护单位；单位是可自由转让的金融工具。为了CRS的目的，这种CIV可以将注册单位持有人视为其帐户持有人吗？</w:t>
            </w:r>
          </w:p>
          <w:p>
            <w:pPr>
              <w:pStyle w:val="14"/>
              <w:spacing w:before="113"/>
              <w:ind w:right="92"/>
            </w:pPr>
            <w:r>
              <w:rPr>
                <w:rFonts w:hint="eastAsia"/>
              </w:rPr>
              <w:t>是的，在这种情况下，这些注册单位持有人将是CIV股权的账户持有人（除非他们是金融机构以外的人，如第八节所述为另一人的利益或账户持有股权） E）（1））。作为登记单位持有人的监管机构将负责报告其在CIV中的权益，这些CIV权益应由托管账户中的可报告账户持有人持有（参见关于第VIII节的评论第71段）。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9.投资实体</w:t>
            </w:r>
            <w:r>
              <w:rPr>
                <w:rFonts w:hint="eastAsia" w:ascii="Calibri" w:hAnsi="Calibri"/>
                <w:b/>
              </w:rPr>
              <w:t xml:space="preserve">– </w:t>
            </w:r>
            <w:r>
              <w:rPr>
                <w:rFonts w:hint="eastAsia"/>
                <w:b/>
              </w:rPr>
              <w:t>财务帐户定义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05" w:hRule="atLeast"/>
        </w:trPr>
        <w:tc>
          <w:tcPr>
            <w:tcW w:w="10684" w:type="dxa"/>
          </w:tcPr>
          <w:p>
            <w:pPr>
              <w:pStyle w:val="14"/>
              <w:ind w:right="86"/>
              <w:rPr>
                <w:b/>
              </w:rPr>
            </w:pPr>
            <w:r>
              <w:rPr>
                <w:rFonts w:hint="eastAsia"/>
                <w:b/>
              </w:rPr>
              <w:t>根据第VIII（C）（1）（b）节的规定，除第VIII（C）（1）（a）节所述的权益以外，在金融机构中的股本权益或债务权益仅在权益类别下才被视为金融帐户成立是为了避免根据CRS进行报告。该规则如何仅适用于作为投资实体的投资顾问或投资经理而适用于作为投资实体的实体所持有的债务或股权？</w:t>
            </w:r>
          </w:p>
          <w:p>
            <w:pPr>
              <w:pStyle w:val="14"/>
              <w:spacing w:before="112"/>
              <w:ind w:right="84"/>
            </w:pPr>
            <w:r>
              <w:rPr>
                <w:rFonts w:hint="eastAsia"/>
              </w:rPr>
              <w:t>第VIII（C）（1）（b）节仅适用于作为投资实体的实体所持有的债务和股权，原因仅在于： ，并代表客户行事，以投资，管理或管理以客户名义存入该投资实体以外的金融机构的金融资产（如果此类权益的目的是为了建立，避免根据CRS报告。</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10.排除帐户-为公寓或住房合作社目的而持有的帐户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11" w:hRule="atLeast"/>
        </w:trPr>
        <w:tc>
          <w:tcPr>
            <w:tcW w:w="10684" w:type="dxa"/>
          </w:tcPr>
          <w:p>
            <w:pPr>
              <w:pStyle w:val="14"/>
              <w:ind w:right="93"/>
              <w:rPr>
                <w:b/>
              </w:rPr>
            </w:pPr>
            <w:r>
              <w:rPr>
                <w:rFonts w:hint="eastAsia"/>
                <w:b/>
              </w:rPr>
              <w:t>在“排除帐户”的背景下，应如何分类一组所有者持有的帐户，以支付公寓或住房合作社的日常费用？</w:t>
            </w:r>
          </w:p>
          <w:p>
            <w:pPr>
              <w:pStyle w:val="14"/>
              <w:ind w:right="86"/>
            </w:pPr>
            <w:r>
              <w:rPr>
                <w:rFonts w:hint="eastAsia"/>
              </w:rPr>
              <w:t>根据CRS的第VIII（C）（17）（g）节，各司法管辖区可以建立特定的国内“排除帐户”清单，但前提是此类财务帐户的偷税风险很小，并且具有与之基本相似的特征。 CRS在第VIII（C）（17）（a）节中预计的排除帐户类别如下：</w:t>
            </w:r>
          </w:p>
          <w:p>
            <w:pPr>
              <w:pStyle w:val="14"/>
              <w:spacing w:before="0" w:line="252" w:lineRule="exact"/>
            </w:pPr>
            <w:r>
              <w:rPr>
                <w:rFonts w:hint="eastAsia"/>
              </w:rPr>
              <w:t>（f）并且不会破坏CRS的目的。</w:t>
            </w:r>
          </w:p>
          <w:p>
            <w:pPr>
              <w:pStyle w:val="14"/>
              <w:spacing w:before="117"/>
              <w:ind w:right="86"/>
            </w:pPr>
            <w:r>
              <w:rPr>
                <w:rFonts w:hint="eastAsia"/>
              </w:rPr>
              <w:t>根据第VIII（C）（17）（b）节，出于以下目的，用于非退休储蓄的金融帐户是排除帐户：（i）受非退休储蓄工具的监管，（ii）是税收-（iii）提款必须满足特定标准，并且（iv）年度捐款不得超过50,000美元。</w:t>
            </w:r>
          </w:p>
          <w:p>
            <w:pPr>
              <w:pStyle w:val="14"/>
              <w:spacing w:before="117"/>
              <w:ind w:right="84"/>
            </w:pPr>
            <w:r>
              <w:rPr>
                <w:rFonts w:hint="eastAsia"/>
              </w:rPr>
              <w:t>鉴于上述情况，为支付公寓或住房合作社的费用而由业主组或公寓公司持有或代表业主的财务帐户可能包含在特定辖区的低风险列表中排除的帐户，但前提是：（i）在国内法中作为特定帐户来支付公寓或住房合作社的费用，（ii）对该帐户或所缴纳和/或保留在帐户中的金额实行税收优惠，（ iii）帐户中的金额只能用于支付公寓或住房合作社的费用，并且（iv）没有任何一个所有者每年可以出资超过50,000美元。</w:t>
            </w:r>
          </w:p>
          <w:p>
            <w:pPr>
              <w:pStyle w:val="14"/>
              <w:spacing w:before="118"/>
              <w:ind w:right="83"/>
            </w:pPr>
            <w:r>
              <w:rPr>
                <w:rFonts w:hint="eastAsia"/>
              </w:rPr>
              <w:t>如果不满足上述某些要求（例如，对金融帐户实行税收优惠或捐款限制为50,000美元），则应考虑国内特点，考虑确保具有同等低风险水平的替代特征或限制。这可能包括以下功能：（i）单身人士应占当年应缴年度供款总额的20％，（ii）由独立专业人士经营的帐户，（iii）供款金额和资金用途根据业主或公寓合作社的构成文件经业主同意决定，或</w:t>
            </w:r>
          </w:p>
          <w:p>
            <w:pPr>
              <w:pStyle w:val="14"/>
              <w:spacing w:before="0"/>
              <w:ind w:right="91"/>
            </w:pPr>
            <w:r>
              <w:rPr>
                <w:rFonts w:hint="eastAsia"/>
              </w:rPr>
              <w:t>（iv）禁止出于公寓或住房合作社的开支以外的目的从帐户中提款。</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2" w:hRule="atLeast"/>
        </w:trPr>
        <w:tc>
          <w:tcPr>
            <w:tcW w:w="10684" w:type="dxa"/>
            <w:shd w:val="clear" w:color="auto" w:fill="DAEDF3"/>
          </w:tcPr>
          <w:p>
            <w:pPr>
              <w:pStyle w:val="14"/>
              <w:spacing w:before="194"/>
              <w:jc w:val="left"/>
              <w:rPr>
                <w:b/>
              </w:rPr>
            </w:pPr>
            <w:r>
              <w:rPr>
                <w:rFonts w:hint="eastAsia"/>
                <w:b/>
              </w:rPr>
              <w:t>11.信托的间接分配</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9" w:hRule="atLeast"/>
        </w:trPr>
        <w:tc>
          <w:tcPr>
            <w:tcW w:w="10684" w:type="dxa"/>
          </w:tcPr>
          <w:p>
            <w:pPr>
              <w:pStyle w:val="14"/>
              <w:spacing w:before="115"/>
              <w:rPr>
                <w:b/>
              </w:rPr>
            </w:pPr>
            <w:r>
              <w:rPr>
                <w:rFonts w:hint="eastAsia"/>
                <w:b/>
              </w:rPr>
              <w:t>在CRS下如何处理信托的间接分配？</w:t>
            </w:r>
          </w:p>
          <w:p>
            <w:pPr>
              <w:pStyle w:val="14"/>
              <w:spacing w:before="117"/>
              <w:ind w:right="83"/>
            </w:pPr>
            <w:r>
              <w:rPr>
                <w:rFonts w:hint="eastAsia"/>
              </w:rPr>
              <w:t>daccess-ods.un.org daccess-ods.un.org根据第VIII（C）（4）节，如果可报告人可以直接或间接地从trust</w:t>
            </w:r>
            <w:r>
              <w:rPr>
                <w:rFonts w:hint="eastAsia" w:ascii="Calibri" w:hAnsi="Calibri"/>
              </w:rPr>
              <w:t>”</w:t>
            </w:r>
            <w:r>
              <w:rPr>
                <w:rFonts w:hint="eastAsia"/>
              </w:rPr>
              <w:t>收到全权分配，则该应报告人将被视为信托</w:t>
            </w:r>
            <w:r>
              <w:rPr>
                <w:rFonts w:hint="eastAsia" w:ascii="Calibri" w:hAnsi="Calibri"/>
              </w:rPr>
              <w:t>“</w:t>
            </w:r>
            <w:r>
              <w:rPr>
                <w:rFonts w:hint="eastAsia"/>
              </w:rPr>
              <w:t>的受益人。</w:t>
            </w:r>
          </w:p>
          <w:p>
            <w:pPr>
              <w:pStyle w:val="14"/>
              <w:spacing w:before="113"/>
              <w:ind w:right="84"/>
            </w:pPr>
            <w:r>
              <w:rPr>
                <w:rFonts w:hint="eastAsia"/>
              </w:rPr>
              <w:t>当信托为他人的利益向第三方付款时，可能会出现信托的间接分配。例如，信托支付学费或偿还他人贷款的情况将被视为该信托的间接分配。间接分配还包括信托无息或以低于市场利率的利率或在其他非arm</w:t>
            </w:r>
            <w:r>
              <w:rPr>
                <w:rFonts w:hint="eastAsia" w:ascii="Calibri" w:hAnsi="Calibri"/>
              </w:rPr>
              <w:t>’</w:t>
            </w:r>
            <w:r>
              <w:rPr>
                <w:rFonts w:hint="eastAsia"/>
              </w:rPr>
              <w:t>期限条件下发放贷款的情况。此外，信托对受益人的贷款冲销构成了贷款冲销年度的间接分配。</w:t>
            </w:r>
          </w:p>
          <w:p>
            <w:pPr>
              <w:pStyle w:val="14"/>
              <w:spacing w:before="115"/>
              <w:ind w:right="94"/>
            </w:pPr>
            <w:r>
              <w:rPr>
                <w:rFonts w:hint="eastAsia"/>
              </w:rPr>
              <w:t>在上述所有情况下，应报告人将是接受间接分配的信托的受益人（即在上述示例中，学费的债务人或优惠贷款条件的接收人）。</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2" w:hRule="atLeast"/>
        </w:trPr>
        <w:tc>
          <w:tcPr>
            <w:tcW w:w="10684" w:type="dxa"/>
            <w:shd w:val="clear" w:color="auto" w:fill="DAEDF3"/>
          </w:tcPr>
          <w:p>
            <w:pPr>
              <w:pStyle w:val="14"/>
              <w:spacing w:before="197"/>
              <w:jc w:val="left"/>
              <w:rPr>
                <w:b/>
              </w:rPr>
            </w:pPr>
            <w:r>
              <w:rPr>
                <w:rFonts w:hint="eastAsia"/>
                <w:b/>
              </w:rPr>
              <w:t>12.账户持有人有关现金价值保险合同的信息</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7" w:hRule="atLeast"/>
        </w:trPr>
        <w:tc>
          <w:tcPr>
            <w:tcW w:w="10684" w:type="dxa"/>
          </w:tcPr>
          <w:p>
            <w:pPr>
              <w:pStyle w:val="14"/>
              <w:spacing w:before="118"/>
              <w:ind w:right="90"/>
              <w:rPr>
                <w:b/>
              </w:rPr>
            </w:pPr>
            <w:r>
              <w:rPr>
                <w:rFonts w:hint="eastAsia"/>
                <w:b/>
              </w:rPr>
              <w:t>关于现金价值保险合同，是否有权获得现金价值和更改合同受益人的人，如果放弃了这些权利，仍被视为出于CRS目的的账户持有人？</w:t>
            </w:r>
          </w:p>
          <w:p>
            <w:pPr>
              <w:pStyle w:val="14"/>
              <w:spacing w:before="113"/>
              <w:ind w:right="85"/>
            </w:pPr>
            <w:r>
              <w:rPr>
                <w:rFonts w:hint="eastAsia"/>
              </w:rPr>
              <w:t>在所有情况下，除非最终，全面且不可撤消地放弃了使用现金价值的权利和更改现金价值保险合同的受益人的权利，否则这些人在任何情况下均应视为现金价值保险合同的账户持有人。</w:t>
            </w:r>
          </w:p>
          <w:p>
            <w:pPr>
              <w:pStyle w:val="14"/>
              <w:spacing w:before="117"/>
              <w:ind w:right="85"/>
            </w:pPr>
            <w:r>
              <w:rPr>
                <w:rFonts w:hint="eastAsia"/>
              </w:rPr>
              <w:t>在考虑到上款的情况下，任何人都无法访问现金价值或更改受益人的情况下，账户持有人是指被指定为合同所有者的任何人，并且是根据本协议条款具有既得的付款权利的任何人。合同。</w:t>
            </w:r>
          </w:p>
          <w:p>
            <w:pPr>
              <w:pStyle w:val="14"/>
              <w:spacing w:before="117"/>
              <w:ind w:right="86"/>
            </w:pPr>
            <w:r>
              <w:rPr>
                <w:rFonts w:hint="eastAsia"/>
              </w:rPr>
              <w:t>尽管有上述规定，现金价值保险合同到期时（即当合同规定的付款义务固定时），每个有权根据合同收取款项的人都应视为帐户持有人。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92CDDC"/>
          </w:tcPr>
          <w:p>
            <w:pPr>
              <w:pStyle w:val="14"/>
              <w:spacing w:before="115"/>
              <w:ind w:left="3864"/>
              <w:jc w:val="left"/>
              <w:rPr>
                <w:b/>
              </w:rPr>
            </w:pPr>
            <w:r>
              <w:rPr>
                <w:rFonts w:hint="eastAsia"/>
                <w:b/>
              </w:rPr>
              <w:t>D.可报告帐户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4"/>
              <w:jc w:val="left"/>
              <w:rPr>
                <w:b/>
              </w:rPr>
            </w:pPr>
            <w:r>
              <w:rPr>
                <w:rFonts w:hint="eastAsia"/>
                <w:b/>
              </w:rPr>
              <w:t>1.某些控制人的报告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6" w:hRule="atLeast"/>
        </w:trPr>
        <w:tc>
          <w:tcPr>
            <w:tcW w:w="10684" w:type="dxa"/>
          </w:tcPr>
          <w:p>
            <w:pPr>
              <w:pStyle w:val="14"/>
              <w:ind w:right="81"/>
              <w:rPr>
                <w:b/>
              </w:rPr>
            </w:pPr>
            <w:r>
              <w:rPr>
                <w:rFonts w:hint="eastAsia"/>
                <w:b/>
              </w:rPr>
              <w:t>是否需要报告与报告金融机构所在司法管辖区相同的实体控制人？</w:t>
            </w:r>
          </w:p>
          <w:p>
            <w:pPr>
              <w:pStyle w:val="14"/>
              <w:spacing w:before="111"/>
              <w:ind w:right="81"/>
            </w:pPr>
            <w:r>
              <w:rPr>
                <w:rFonts w:hint="eastAsia"/>
              </w:rPr>
              <w:t>该标准仅要求报告应报告的司法管辖区人员。应报告管辖区人员是指报告金融机构所在的参与管辖区的国内实施法规（第VIII，D，（3）节）规定的特定辖区中的居民。至少，此列表必须包括参与管辖区与之达成协议的管辖区，以根据本标准自动交换信息。因此，这将不包括仅属于该参与管辖区本身的居民。</w:t>
            </w:r>
          </w:p>
          <w:p>
            <w:pPr>
              <w:pStyle w:val="14"/>
              <w:spacing w:before="119"/>
              <w:ind w:right="79"/>
            </w:pPr>
            <w:r>
              <w:rPr>
                <w:rFonts w:hint="eastAsia"/>
              </w:rPr>
              <w:t>但是，该标准中讨论了一种方法，该方法将允许参与司法管辖区将报告范围扩大到涵盖其作为控制人的本国居民，尽管这不是该标准的要求（该标准附件5第5段）。</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6"/>
              <w:jc w:val="left"/>
              <w:rPr>
                <w:b/>
              </w:rPr>
            </w:pPr>
            <w:r>
              <w:rPr>
                <w:rFonts w:hint="eastAsia"/>
                <w:b/>
              </w:rPr>
              <w:t>2.被动非金融实体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55" w:hRule="atLeast"/>
        </w:trPr>
        <w:tc>
          <w:tcPr>
            <w:tcW w:w="10684" w:type="dxa"/>
          </w:tcPr>
          <w:p>
            <w:pPr>
              <w:pStyle w:val="14"/>
              <w:ind w:right="78"/>
              <w:rPr>
                <w:b/>
              </w:rPr>
            </w:pPr>
            <w:r>
              <w:rPr>
                <w:rFonts w:hint="eastAsia"/>
                <w:b/>
              </w:rPr>
              <w:t>如果实体的收入中有少于50％是被动收入，而其资产中有少于50％是为被动收入生产或持有的，则该实体为主动非金融实体。如果资产可以产生被动收入但在有关期间实际上不产生任何收入怎么办？</w:t>
            </w:r>
          </w:p>
          <w:p>
            <w:pPr>
              <w:pStyle w:val="14"/>
              <w:spacing w:before="110"/>
              <w:ind w:right="76"/>
            </w:pPr>
            <w:r>
              <w:rPr>
                <w:rFonts w:hint="eastAsia"/>
              </w:rPr>
              <w:t>检验是否为生产被动收入而持有资产（第VIII，D，（9），a节和相关的评注）并不要求在有关期间实际产生被动收入。相反，资产必须是产生或可能产生被动收入的类型。例如，现金应被视为生产或为生产被动收入（利息）而持有，即使实际上并没有产生这种收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3.被动收入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61" w:hRule="atLeast"/>
        </w:trPr>
        <w:tc>
          <w:tcPr>
            <w:tcW w:w="10684" w:type="dxa"/>
          </w:tcPr>
          <w:p>
            <w:pPr>
              <w:pStyle w:val="14"/>
              <w:ind w:right="83"/>
              <w:rPr>
                <w:b/>
              </w:rPr>
            </w:pPr>
            <w:r>
              <w:rPr>
                <w:rFonts w:hint="eastAsia"/>
                <w:b/>
              </w:rPr>
              <w:t>CRS没有定义被动收入；但是，评注提供了通常应视为被动收入的项目清单。评论进一步规定，可以通过“参考每个司法管辖区的特定规则”来确定被动收入。见关于第八节的评论，第126段。在确定被动收入时，提及每个司法管辖区的特定规则意味着什么？</w:t>
            </w:r>
          </w:p>
          <w:p>
            <w:pPr>
              <w:pStyle w:val="14"/>
              <w:spacing w:before="108"/>
              <w:ind w:left="107" w:right="80"/>
            </w:pPr>
            <w:r>
              <w:rPr>
                <w:rFonts w:hint="eastAsia"/>
              </w:rPr>
              <w:t>为促进有效实施本标准，司法管辖区对被动收入的定义应与评注中提供的清单实质上保持一致。每个管辖区都可以在其特定规则中定义与国内规则一致的被动收入列表（例如，等值的收入）中包含的项目。</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4.应报告人–定期交易的定义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86" w:hRule="atLeast"/>
        </w:trPr>
        <w:tc>
          <w:tcPr>
            <w:tcW w:w="10684" w:type="dxa"/>
          </w:tcPr>
          <w:p>
            <w:pPr>
              <w:pStyle w:val="14"/>
              <w:ind w:right="81"/>
              <w:rPr>
                <w:b/>
              </w:rPr>
            </w:pPr>
            <w:r>
              <w:rPr>
                <w:rFonts w:hint="eastAsia"/>
                <w:b/>
              </w:rPr>
              <w:t>第八节（D）（2）（a）规定，“其股票在一个或多个已建立的证券市场上定期交易的公司”不是应报告人。</w:t>
            </w:r>
          </w:p>
          <w:p>
            <w:pPr>
              <w:pStyle w:val="14"/>
              <w:spacing w:before="121"/>
              <w:ind w:right="95"/>
              <w:rPr>
                <w:b/>
              </w:rPr>
            </w:pPr>
            <w:r>
              <w:rPr>
                <w:rFonts w:hint="eastAsia"/>
                <w:b/>
              </w:rPr>
              <w:t>在这方面，关于第八节的评注第112段规定，如果有关股票的持续交易量有意义，则该股票是“正常交易”的。</w:t>
            </w:r>
          </w:p>
          <w:p>
            <w:pPr>
              <w:pStyle w:val="14"/>
              <w:spacing w:before="118"/>
              <w:ind w:right="81"/>
              <w:rPr>
                <w:b/>
              </w:rPr>
            </w:pPr>
            <w:r>
              <w:rPr>
                <w:rFonts w:hint="eastAsia"/>
                <w:b/>
              </w:rPr>
              <w:t>评注的第113段针对公司股票的每个类别提供了关于“持续进行有关股票的有意义的交易量”的含义的进一步指导。</w:t>
            </w:r>
          </w:p>
          <w:p>
            <w:pPr>
              <w:pStyle w:val="14"/>
              <w:spacing w:before="120"/>
              <w:rPr>
                <w:b/>
              </w:rPr>
            </w:pPr>
            <w:r>
              <w:rPr>
                <w:rFonts w:hint="eastAsia"/>
                <w:b/>
              </w:rPr>
              <w:t>如何解释“公司股票的每种股份类别”？</w:t>
            </w:r>
          </w:p>
          <w:p>
            <w:pPr>
              <w:pStyle w:val="14"/>
              <w:spacing w:before="112"/>
              <w:ind w:right="79"/>
            </w:pPr>
            <w:r>
              <w:rPr>
                <w:rFonts w:hint="eastAsia"/>
              </w:rPr>
              <w:t>就本准则而言，“公司股票的每个股票类别”是指（i）在上一个日历年内在一个或多个已建立的证券市场上市的公司股票的一种或多种类别。 ）合计超过（a）该有权投票的该公司所有类别股票的总合并表决权和（b）该公司的股票总价值的50％以上。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5.活跃NFE的定义–在已建立的证券市场上定期交易的股票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818" w:hRule="atLeast"/>
        </w:trPr>
        <w:tc>
          <w:tcPr>
            <w:tcW w:w="10684" w:type="dxa"/>
          </w:tcPr>
          <w:p>
            <w:pPr>
              <w:pStyle w:val="14"/>
              <w:ind w:right="85"/>
              <w:rPr>
                <w:b/>
              </w:rPr>
            </w:pPr>
            <w:r>
              <w:rPr>
                <w:rFonts w:hint="eastAsia"/>
                <w:b/>
              </w:rPr>
              <w:t>术语“活跃NFE”包括其股票在既有证券市场上定期交易的NFE或作为实体的关联实体的NFE，该实体的股票在既有证券市场上定期交易的实体。公司以外的实体是否可以拥有“在已建立的证券市场上定期交易的股票”？</w:t>
            </w:r>
          </w:p>
          <w:p>
            <w:pPr>
              <w:pStyle w:val="14"/>
              <w:spacing w:before="112"/>
              <w:ind w:right="86"/>
            </w:pPr>
            <w:r>
              <w:rPr>
                <w:rFonts w:hint="eastAsia"/>
              </w:rPr>
              <w:t>不能。术语“股票”仅限于公司股份。因此，只有一家公司可以根据其股票在已建立的证券市场上定期交易的事实才有资格成为活跃NFE。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6.作为报告金融机构的信托的保护人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13" w:hRule="atLeast"/>
        </w:trPr>
        <w:tc>
          <w:tcPr>
            <w:tcW w:w="10684" w:type="dxa"/>
          </w:tcPr>
          <w:p>
            <w:pPr>
              <w:pStyle w:val="14"/>
              <w:ind w:right="84"/>
              <w:rPr>
                <w:b/>
              </w:rPr>
            </w:pPr>
            <w:r>
              <w:rPr>
                <w:rFonts w:hint="eastAsia"/>
                <w:b/>
              </w:rPr>
              <w:t>是报告金融机构的信托保护人在所有情况下还是仅在其权力使其可以被视为对信托行使控制权的情况下才被视为信托的账户持有人？</w:t>
            </w:r>
          </w:p>
          <w:p>
            <w:pPr>
              <w:pStyle w:val="14"/>
              <w:spacing w:before="111"/>
            </w:pPr>
            <w:r>
              <w:rPr>
                <w:rFonts w:hint="eastAsia"/>
              </w:rPr>
              <w:t>无论保护人是否对信托有有效控制，都必须将其视为账户持有人。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41" w:hRule="atLeast"/>
        </w:trPr>
        <w:tc>
          <w:tcPr>
            <w:tcW w:w="10684" w:type="dxa"/>
            <w:shd w:val="clear" w:color="auto" w:fill="DAEDF3"/>
          </w:tcPr>
          <w:p>
            <w:pPr>
              <w:pStyle w:val="14"/>
              <w:spacing w:before="194"/>
              <w:ind w:right="895"/>
              <w:jc w:val="left"/>
              <w:rPr>
                <w:b/>
              </w:rPr>
            </w:pPr>
            <w:r>
              <w:rPr>
                <w:rFonts w:hint="eastAsia"/>
                <w:b/>
              </w:rPr>
              <w:t>7.关于现金价值保险合同，年金合同，股权和债务利息的付款类型代码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100" w:hRule="atLeast"/>
        </w:trPr>
        <w:tc>
          <w:tcPr>
            <w:tcW w:w="10684" w:type="dxa"/>
          </w:tcPr>
          <w:p>
            <w:pPr>
              <w:pStyle w:val="14"/>
              <w:spacing w:before="117"/>
              <w:ind w:right="84"/>
              <w:rPr>
                <w:b/>
              </w:rPr>
            </w:pPr>
            <w:r>
              <w:rPr>
                <w:rFonts w:hint="eastAsia"/>
                <w:b/>
              </w:rPr>
              <w:t>代码CRS504可以用于识别关于现金价值保险合同，年金合同，股权和债务利息报告的所有付款方式吗？</w:t>
            </w:r>
          </w:p>
          <w:p>
            <w:pPr>
              <w:pStyle w:val="14"/>
              <w:spacing w:before="111"/>
              <w:ind w:right="84"/>
            </w:pPr>
            <w:r>
              <w:rPr>
                <w:rFonts w:hint="eastAsia"/>
              </w:rPr>
              <w:t>是的，代码CRS504可用于识别关于现金价值保险合同，年金合同，股权和债务利息报告的所有付款类型，包括在这些付款为股息，利息，总收益或赎回的情况下付款。该标准不需要使用特定代码（即CRS501，CRS502或CRS503）来识别针对现金价值保险合同，年金合同，股权或债务利息报告的每种付款方式。</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4" w:hRule="atLeast"/>
        </w:trPr>
        <w:tc>
          <w:tcPr>
            <w:tcW w:w="10684" w:type="dxa"/>
            <w:shd w:val="clear" w:color="auto" w:fill="DAEDF3"/>
          </w:tcPr>
          <w:p>
            <w:pPr>
              <w:pStyle w:val="14"/>
              <w:spacing w:before="195"/>
              <w:jc w:val="left"/>
              <w:rPr>
                <w:b/>
              </w:rPr>
            </w:pPr>
            <w:r>
              <w:rPr>
                <w:rFonts w:hint="eastAsia"/>
                <w:b/>
              </w:rPr>
              <w:t>8.保险公司资本投资收益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256" w:hRule="atLeast"/>
        </w:trPr>
        <w:tc>
          <w:tcPr>
            <w:tcW w:w="10684" w:type="dxa"/>
          </w:tcPr>
          <w:p>
            <w:pPr>
              <w:pStyle w:val="14"/>
              <w:spacing w:before="113"/>
              <w:rPr>
                <w:b/>
              </w:rPr>
            </w:pPr>
            <w:r>
              <w:rPr>
                <w:rFonts w:hint="eastAsia"/>
                <w:b/>
              </w:rPr>
              <w:t>从资产中获得的用于投资保险业务资本的收入可以视为活动收入吗？</w:t>
            </w:r>
          </w:p>
          <w:p>
            <w:pPr>
              <w:pStyle w:val="14"/>
              <w:spacing w:before="110"/>
              <w:ind w:right="80"/>
            </w:pPr>
            <w:r>
              <w:rPr>
                <w:rFonts w:hint="eastAsia"/>
              </w:rPr>
              <w:t>是。在确定收入是否为被动收入时，有必要考虑保险业务获得的收入的性质。顾名思义，被动收入是从对资产的投资中获得的，而不是来自在正常贸易或业务过程中进行的活动。由于从作为保险业务的业务或监管准备金而持有的资产中获得的收入的性质，在这种特定情况下，该收入可以视为主动收入，而不是被动收入。</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3" w:hRule="atLeast"/>
        </w:trPr>
        <w:tc>
          <w:tcPr>
            <w:tcW w:w="10684" w:type="dxa"/>
            <w:shd w:val="clear" w:color="auto" w:fill="FFFFCC"/>
          </w:tcPr>
          <w:p>
            <w:pPr>
              <w:pStyle w:val="14"/>
              <w:spacing w:before="120"/>
              <w:ind w:left="117"/>
              <w:jc w:val="left"/>
              <w:rPr>
                <w:b/>
              </w:rPr>
            </w:pPr>
            <w:r>
              <w:rPr>
                <w:rFonts w:hint="eastAsia"/>
                <w:b/>
              </w:rPr>
              <w:t>9.已有实体帐户的可报告司法管辖区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091" w:hRule="atLeast"/>
        </w:trPr>
        <w:tc>
          <w:tcPr>
            <w:tcW w:w="10684" w:type="dxa"/>
          </w:tcPr>
          <w:p>
            <w:pPr>
              <w:pStyle w:val="14"/>
              <w:spacing w:before="118"/>
              <w:ind w:right="670"/>
              <w:rPr>
                <w:b/>
              </w:rPr>
            </w:pPr>
            <w:r>
              <w:rPr>
                <w:rFonts w:hint="eastAsia"/>
                <w:b/>
              </w:rPr>
              <w:t>在现有实体帐户的情况下，要求金融机构根据第V（D）节确定现有实体帐户持有人是否居住在一个或多个可报告辖区中。</w:t>
            </w:r>
          </w:p>
          <w:p>
            <w:pPr>
              <w:pStyle w:val="14"/>
              <w:spacing w:before="120"/>
              <w:ind w:right="666"/>
              <w:rPr>
                <w:b/>
              </w:rPr>
            </w:pPr>
            <w:r>
              <w:rPr>
                <w:rFonts w:hint="eastAsia"/>
                <w:b/>
              </w:rPr>
              <w:t>根据第五节评注的第10段，如果现有帐户持有人（根据金融机构可获得的信息）具有以下特征，则应视为其应报告司法管辖区的居民：</w:t>
            </w:r>
          </w:p>
          <w:p>
            <w:pPr>
              <w:pStyle w:val="14"/>
              <w:numPr>
                <w:ilvl w:val="0"/>
                <w:numId w:val="2"/>
              </w:numPr>
              <w:tabs>
                <w:tab w:val="left" w:pos="830"/>
                <w:tab w:val="left" w:pos="831"/>
              </w:tabs>
              <w:spacing w:before="120"/>
              <w:jc w:val="left"/>
              <w:rPr>
                <w:b/>
              </w:rPr>
            </w:pPr>
            <w:r>
              <w:rPr>
                <w:rFonts w:hint="eastAsia"/>
                <w:b/>
              </w:rPr>
              <w:t>公司或组织在应报告司法管辖区中的位置；</w:t>
            </w:r>
          </w:p>
          <w:p>
            <w:pPr>
              <w:pStyle w:val="14"/>
              <w:numPr>
                <w:ilvl w:val="0"/>
                <w:numId w:val="2"/>
              </w:numPr>
              <w:tabs>
                <w:tab w:val="left" w:pos="830"/>
                <w:tab w:val="left" w:pos="831"/>
              </w:tabs>
              <w:spacing w:before="120"/>
              <w:ind w:right="664"/>
              <w:jc w:val="left"/>
              <w:rPr>
                <w:b/>
              </w:rPr>
            </w:pPr>
            <w:r>
              <w:rPr>
                <w:rFonts w:hint="eastAsia"/>
                <w:b/>
              </w:rPr>
              <w:t>应报告司法管辖区中的地址（例如[…]注册地址，主要办公室或有效管理地点）；要么</w:t>
            </w:r>
          </w:p>
          <w:p>
            <w:pPr>
              <w:pStyle w:val="14"/>
              <w:numPr>
                <w:ilvl w:val="0"/>
                <w:numId w:val="2"/>
              </w:numPr>
              <w:tabs>
                <w:tab w:val="left" w:pos="830"/>
                <w:tab w:val="left" w:pos="831"/>
              </w:tabs>
              <w:spacing w:before="120"/>
              <w:jc w:val="left"/>
              <w:rPr>
                <w:b/>
              </w:rPr>
            </w:pPr>
            <w:r>
              <w:rPr>
                <w:rFonts w:hint="eastAsia"/>
                <w:b/>
              </w:rPr>
              <w:t>给可报告​​司法管辖区中的一个或多个受托人的地址。</w:t>
            </w:r>
          </w:p>
          <w:p>
            <w:pPr>
              <w:pStyle w:val="14"/>
              <w:spacing w:before="119"/>
              <w:ind w:right="669"/>
              <w:rPr>
                <w:b/>
              </w:rPr>
            </w:pPr>
            <w:r>
              <w:rPr>
                <w:rFonts w:hint="eastAsia"/>
                <w:b/>
              </w:rPr>
              <w:t>为了对现有实体帐户持有人进行尽职调查程序，需要确定以上所有指示以及任何其他相关考虑因素，才能确定特定现有实体的应报告司法管辖区帐户持有人？</w:t>
            </w:r>
          </w:p>
          <w:p>
            <w:pPr>
              <w:pStyle w:val="14"/>
              <w:ind w:right="668"/>
            </w:pPr>
            <w:r>
              <w:rPr>
                <w:rFonts w:hint="eastAsia"/>
              </w:rPr>
              <w:t>是。在确定现有实体帐户持有人的应报告管辖权时，应考虑所有上述指示和其他相关考虑因素，即使发现一个居住证，金融机构也必须继续审查所有可用信息。 。除非可以采用第V（D）（1）（b）节中规定的固化程序，否则应将现有实体帐户持有人视为在每个发现司法管辖区的应报告司法管辖区中的居民。</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92CDDC"/>
          </w:tcPr>
          <w:p>
            <w:pPr>
              <w:pStyle w:val="14"/>
              <w:ind w:left="4246"/>
              <w:jc w:val="left"/>
              <w:rPr>
                <w:b/>
              </w:rPr>
            </w:pPr>
            <w:r>
              <w:rPr>
                <w:rFonts w:hint="eastAsia"/>
                <w:b/>
              </w:rPr>
              <w:t>E.其他</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DAEDF3"/>
          </w:tcPr>
          <w:p>
            <w:pPr>
              <w:pStyle w:val="14"/>
              <w:spacing w:before="194"/>
              <w:jc w:val="left"/>
              <w:rPr>
                <w:b/>
              </w:rPr>
            </w:pPr>
            <w:r>
              <w:rPr>
                <w:rFonts w:hint="eastAsia"/>
                <w:b/>
              </w:rPr>
              <w:t>1.间接所有权时的相关实体定义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04" w:hRule="atLeast"/>
        </w:trPr>
        <w:tc>
          <w:tcPr>
            <w:tcW w:w="10684" w:type="dxa"/>
          </w:tcPr>
          <w:p>
            <w:pPr>
              <w:pStyle w:val="14"/>
              <w:spacing w:before="115"/>
              <w:ind w:right="83"/>
              <w:rPr>
                <w:b/>
              </w:rPr>
            </w:pPr>
            <w:r>
              <w:rPr>
                <w:rFonts w:hint="eastAsia"/>
                <w:b/>
              </w:rPr>
              <w:t>为了确定一个实体是否与另一个实体相关，根据标准第VIII节E（4）小节，需要验证一个实体是否控制另一个实体或两个实体是否处于共同控制之下。该条款还规定，控制权包括实体中50％以上的投票和价值的直接或间接所有权。</w:t>
            </w:r>
          </w:p>
          <w:p>
            <w:pPr>
              <w:pStyle w:val="14"/>
              <w:spacing w:before="121"/>
              <w:ind w:right="89"/>
              <w:rPr>
                <w:b/>
              </w:rPr>
            </w:pPr>
            <w:r>
              <w:rPr>
                <w:rFonts w:hint="eastAsia"/>
                <w:b/>
              </w:rPr>
              <w:t>如果间接拥有一个实体在另一个实体中的投票权和价值，该所有权是否应按比例衡量？</w:t>
            </w:r>
          </w:p>
          <w:p>
            <w:pPr>
              <w:pStyle w:val="14"/>
              <w:spacing w:before="118"/>
              <w:jc w:val="left"/>
              <w:rPr>
                <w:b/>
                <w:i/>
              </w:rPr>
            </w:pPr>
            <w:r>
              <w:rPr>
                <w:rFonts w:hint="eastAsia"/>
                <w:b/>
                <w:i/>
                <w:u w:val="thick"/>
              </w:rPr>
              <w:t>例：</w:t>
            </w:r>
          </w:p>
          <w:p>
            <w:pPr>
              <w:pStyle w:val="14"/>
              <w:spacing w:before="121"/>
              <w:ind w:right="80"/>
              <w:rPr>
                <w:b/>
                <w:i/>
              </w:rPr>
            </w:pPr>
            <w:r>
              <w:rPr>
                <w:rFonts w:hint="eastAsia"/>
                <w:b/>
                <w:i/>
              </w:rPr>
              <w:t>实体A拥有实体B的总投票权51％和总价值的51％。实体B依次拥有实体C的总投票权51％和总价值的51％ 。实体A和实体C相关的实体吗？在比例规则下，实体将不相关，因为该规则将要求表决权和价值的百分比相乘，而实际上，实体A有效地控制了实体C。</w:t>
            </w:r>
          </w:p>
          <w:p>
            <w:pPr>
              <w:pStyle w:val="14"/>
              <w:spacing w:before="110"/>
              <w:ind w:right="76"/>
            </w:pPr>
            <w:r>
              <w:rPr>
                <w:rFonts w:hint="eastAsia"/>
              </w:rPr>
              <w:t>如果一个实体通过一个或多个共同母公司实体通过一个或多个所有权链相连，并且该共同母公司直接拥有至少一个其他实体中50％以上的股权或其他股权，则这些实体被视为相关实体。所有权链应理解为一个或多个实体所拥有的所有权超过实体股票总投票权的50％，并超过实体股票总价值的50％。</w:t>
            </w:r>
          </w:p>
          <w:p>
            <w:pPr>
              <w:pStyle w:val="14"/>
              <w:spacing w:before="120"/>
              <w:jc w:val="left"/>
              <w:rPr>
                <w:i/>
              </w:rPr>
            </w:pPr>
            <w:r>
              <w:rPr>
                <w:rFonts w:hint="eastAsia"/>
                <w:i/>
                <w:u w:val="single"/>
              </w:rPr>
              <w:t>例：</w:t>
            </w:r>
          </w:p>
          <w:p>
            <w:pPr>
              <w:pStyle w:val="14"/>
              <w:spacing w:before="119"/>
              <w:ind w:right="76"/>
              <w:rPr>
                <w:i/>
              </w:rPr>
            </w:pPr>
            <w:r>
              <w:rPr>
                <w:rFonts w:hint="eastAsia"/>
                <w:i/>
              </w:rPr>
              <w:t>根据第VIII节E（4）的规定，实体A和C被视为“相关实体”，因为实体A的直接所有权超过了股票总投票权的50％，超过了股票总投票权的50％。实体B的股票，并且由于实体B拥有股票总投票权的50％以上，实体C的股票总价值的50％以上的直接所有权。因此，实体A和C之间存在关联通过所有权链。尽管实体A按比例仅拥有实体C的股票和投票权总价值的26％，但实体A和实体C是关联实体。</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6" w:hRule="atLeast"/>
        </w:trPr>
        <w:tc>
          <w:tcPr>
            <w:tcW w:w="10684" w:type="dxa"/>
            <w:shd w:val="clear" w:color="auto" w:fill="FFFFCC"/>
          </w:tcPr>
          <w:p>
            <w:pPr>
              <w:pStyle w:val="14"/>
              <w:spacing w:before="121"/>
              <w:jc w:val="left"/>
              <w:rPr>
                <w:b/>
              </w:rPr>
            </w:pPr>
            <w:r>
              <w:rPr>
                <w:rFonts w:hint="eastAsia"/>
                <w:b/>
              </w:rPr>
              <w:t>2.保险公司资本投资收益</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54" w:hRule="atLeast"/>
        </w:trPr>
        <w:tc>
          <w:tcPr>
            <w:tcW w:w="10684" w:type="dxa"/>
          </w:tcPr>
          <w:p>
            <w:pPr>
              <w:pStyle w:val="14"/>
              <w:spacing w:before="118"/>
              <w:rPr>
                <w:b/>
              </w:rPr>
            </w:pPr>
            <w:r>
              <w:rPr>
                <w:rFonts w:hint="eastAsia"/>
                <w:b/>
              </w:rPr>
              <w:t>从资产中获得的用于投资保险业务资本的收入可以视为活动收入吗？</w:t>
            </w:r>
          </w:p>
          <w:p>
            <w:pPr>
              <w:pStyle w:val="14"/>
              <w:ind w:right="672"/>
            </w:pPr>
            <w:r>
              <w:rPr>
                <w:rFonts w:hint="eastAsia"/>
              </w:rPr>
              <w:t>是。在确定收入是否为被动收入时，有必要考虑保险业务获得的收入的性质。顾名思义，被动收入是从对资产的投资中获得的，而不是来自在正常贸易或业务过程中进行的活动。由于从作为保险业务的业务或监管准备金持有的资产中获得的收入的性质，在这种特定情况下，该收入可以被视为主动收入，而不是被动收入，除非这些准备金被滥用。</w:t>
            </w:r>
          </w:p>
        </w:tc>
      </w:tr>
    </w:tbl>
    <w:p>
      <w:pPr>
        <w:sectPr>
          <w:pgSz w:w="11920" w:h="16850"/>
          <w:pgMar w:top="620" w:right="380" w:bottom="840" w:left="380" w:header="0" w:footer="644" w:gutter="0"/>
          <w:cols w:space="720" w:num="1"/>
        </w:sectPr>
      </w:pPr>
    </w:p>
    <w:tbl>
      <w:tblPr>
        <w:tblStyle w:val="12"/>
        <w:tblW w:w="0" w:type="auto"/>
        <w:tblInd w:w="22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68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3" w:hRule="atLeast"/>
        </w:trPr>
        <w:tc>
          <w:tcPr>
            <w:tcW w:w="10684" w:type="dxa"/>
            <w:shd w:val="clear" w:color="auto" w:fill="92CDDC"/>
          </w:tcPr>
          <w:p>
            <w:pPr>
              <w:pStyle w:val="14"/>
              <w:spacing w:before="117"/>
              <w:ind w:left="2496" w:right="2479"/>
              <w:jc w:val="center"/>
              <w:rPr>
                <w:b/>
              </w:rPr>
            </w:pPr>
            <w:r>
              <w:rPr>
                <w:rFonts w:hint="eastAsia"/>
                <w:b/>
              </w:rPr>
              <w:t>其他问题</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10684" w:type="dxa"/>
            <w:shd w:val="clear" w:color="auto" w:fill="DAEDF3"/>
          </w:tcPr>
          <w:p>
            <w:pPr>
              <w:pStyle w:val="14"/>
              <w:spacing w:before="194"/>
              <w:jc w:val="left"/>
              <w:rPr>
                <w:b/>
              </w:rPr>
            </w:pPr>
            <w:r>
              <w:rPr>
                <w:rFonts w:hint="eastAsia"/>
                <w:b/>
              </w:rPr>
              <w:t>1.数据保障– ISO-27000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16" w:hRule="atLeast"/>
        </w:trPr>
        <w:tc>
          <w:tcPr>
            <w:tcW w:w="10684" w:type="dxa"/>
          </w:tcPr>
          <w:p>
            <w:pPr>
              <w:pStyle w:val="14"/>
              <w:spacing w:before="115"/>
              <w:ind w:right="84"/>
              <w:rPr>
                <w:b/>
              </w:rPr>
            </w:pPr>
            <w:r>
              <w:rPr>
                <w:rFonts w:hint="eastAsia"/>
                <w:b/>
              </w:rPr>
              <w:t>该标准涉及与保护数据有关的ISO-27000系列。本标准要求应用该系列，如果是，是否需要认证？</w:t>
            </w:r>
          </w:p>
          <w:p>
            <w:pPr>
              <w:pStyle w:val="14"/>
              <w:spacing w:before="111"/>
              <w:ind w:right="77"/>
            </w:pPr>
            <w:r>
              <w:rPr>
                <w:rFonts w:hint="eastAsia"/>
              </w:rPr>
              <w:t>ISO-27000系列不是说明性的，而是提供了一种通过有关信息安全管理，风险和控制的最佳实践建议来管理风险的方法。所采用的精确方法将取决于税务部门拥有的整个信息安全管理系统的环境。此外，还有其他方法可以视为提供了等效的保护。因此，人们期望司法管辖区要么采用ISO 27000系列（等效标准），要么有合理的理由说明为什么在特定的税收管理中有理由背离它。（可以在“标准主管当局协议”第3节注释的第13段和第5节注释的第12段中找到对ISO-270000系列的引用）。</w:t>
            </w:r>
          </w:p>
        </w:tc>
      </w:tr>
    </w:tbl>
    <w:p/>
    <w:sectPr>
      <w:pgSz w:w="11920" w:h="16850"/>
      <w:pgMar w:top="620" w:right="380" w:bottom="840" w:left="380" w:header="0" w:footer="64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pict>
        <v:shape id="_x0000_s2050" o:spid="_x0000_s2050" o:spt="202" type="#_x0000_t202" style="position:absolute;left:0pt;margin-left:557.4pt;margin-top:793.3pt;height:13.05pt;width:15.3pt;mso-position-horizontal-relative:page;mso-position-vertical-relative:page;z-index:-252418048;mso-width-relative:page;mso-height-relative:page;" filled="f" stroked="f" coordsize="21600,21600">
          <v:path/>
          <v:fill on="f" focussize="0,0"/>
          <v:stroke on="f" joinstyle="miter"/>
          <v:imagedata o:title=""/>
          <o:lock v:ext="edit"/>
          <v:textbox inset="0mm,0mm,0mm,0mm">
            <w:txbxContent>
              <w:p>
                <w:pPr>
                  <w:pStyle w:val="6"/>
                  <w:spacing w:line="245" w:lineRule="exact"/>
                  <w:ind w:left="40"/>
                  <w:rPr>
                    <w:rFonts w:ascii="Calibri"/>
                  </w:rPr>
                </w:pPr>
                <w:r>
                  <w:fldChar w:fldCharType="begin"/>
                </w:r>
                <w:r>
                  <w:rPr>
                    <w:rFonts w:hint="eastAsia" w:ascii="Calibri"/>
                  </w:rPr>
                  <w:instrText xml:space="preserve"> PAGE </w:instrText>
                </w:r>
                <w:r>
                  <w:fldChar w:fldCharType="separate"/>
                </w:r>
                <w:r>
                  <w:rPr>
                    <w:rFonts w:ascii="Calibri"/>
                  </w:rPr>
                  <w:t>10</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line="14" w:lineRule="auto"/>
      <w:rPr>
        <w:sz w:val="20"/>
      </w:rPr>
    </w:pPr>
    <w:r>
      <w:pict>
        <v:shape id="_x0000_s2049" o:spid="_x0000_s2049" o:spt="202" type="#_x0000_t202" style="position:absolute;left:0pt;margin-left:546.25pt;margin-top:794.85pt;height:13.05pt;width:15.3pt;mso-position-horizontal-relative:page;mso-position-vertical-relative:page;z-index:-252417024;mso-width-relative:page;mso-height-relative:page;" filled="f" stroked="f" coordsize="21600,21600">
          <v:path/>
          <v:fill on="f" focussize="0,0"/>
          <v:stroke on="f" joinstyle="miter"/>
          <v:imagedata o:title=""/>
          <o:lock v:ext="edit"/>
          <v:textbox inset="0mm,0mm,0mm,0mm">
            <w:txbxContent>
              <w:p>
                <w:pPr>
                  <w:pStyle w:val="6"/>
                  <w:spacing w:line="245" w:lineRule="exact"/>
                  <w:ind w:left="40"/>
                  <w:rPr>
                    <w:rFonts w:ascii="Calibri"/>
                  </w:rPr>
                </w:pPr>
                <w:r>
                  <w:fldChar w:fldCharType="begin"/>
                </w:r>
                <w:r>
                  <w:rPr>
                    <w:rFonts w:hint="eastAsia" w:ascii="Calibri"/>
                  </w:rPr>
                  <w:instrText xml:space="preserve"> PAGE </w:instrText>
                </w:r>
                <w:r>
                  <w:fldChar w:fldCharType="separate"/>
                </w:r>
                <w:r>
                  <w:rPr>
                    <w:rFonts w:ascii="Calibri"/>
                  </w:rPr>
                  <w:t>24</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23F76"/>
    <w:multiLevelType w:val="multilevel"/>
    <w:tmpl w:val="08123F76"/>
    <w:lvl w:ilvl="0" w:tentative="0">
      <w:start w:val="1"/>
      <w:numFmt w:val="lowerLetter"/>
      <w:lvlText w:val="%1)"/>
      <w:lvlJc w:val="left"/>
      <w:pPr>
        <w:ind w:left="402" w:hanging="293"/>
      </w:pPr>
      <w:rPr>
        <w:rFonts w:hint="default" w:ascii="Times New Roman" w:hAnsi="Times New Roman" w:eastAsia="Times New Roman" w:cs="Times New Roman"/>
        <w:b/>
        <w:bCs/>
        <w:w w:val="100"/>
        <w:sz w:val="22"/>
        <w:szCs w:val="22"/>
        <w:lang w:val="en-US" w:eastAsia="en-US" w:bidi="en-US"/>
      </w:rPr>
    </w:lvl>
    <w:lvl w:ilvl="1" w:tentative="0">
      <w:start w:val="0"/>
      <w:numFmt w:val="bullet"/>
      <w:lvlText w:val="•"/>
      <w:lvlJc w:val="left"/>
      <w:pPr>
        <w:ind w:left="1426" w:hanging="293"/>
      </w:pPr>
      <w:rPr>
        <w:rFonts w:hint="default"/>
        <w:lang w:val="en-US" w:eastAsia="en-US" w:bidi="en-US"/>
      </w:rPr>
    </w:lvl>
    <w:lvl w:ilvl="2" w:tentative="0">
      <w:start w:val="0"/>
      <w:numFmt w:val="bullet"/>
      <w:lvlText w:val="•"/>
      <w:lvlJc w:val="left"/>
      <w:pPr>
        <w:ind w:left="2453" w:hanging="293"/>
      </w:pPr>
      <w:rPr>
        <w:rFonts w:hint="default"/>
        <w:lang w:val="en-US" w:eastAsia="en-US" w:bidi="en-US"/>
      </w:rPr>
    </w:lvl>
    <w:lvl w:ilvl="3" w:tentative="0">
      <w:start w:val="0"/>
      <w:numFmt w:val="bullet"/>
      <w:lvlText w:val="•"/>
      <w:lvlJc w:val="left"/>
      <w:pPr>
        <w:ind w:left="3480" w:hanging="293"/>
      </w:pPr>
      <w:rPr>
        <w:rFonts w:hint="default"/>
        <w:lang w:val="en-US" w:eastAsia="en-US" w:bidi="en-US"/>
      </w:rPr>
    </w:lvl>
    <w:lvl w:ilvl="4" w:tentative="0">
      <w:start w:val="0"/>
      <w:numFmt w:val="bullet"/>
      <w:lvlText w:val="•"/>
      <w:lvlJc w:val="left"/>
      <w:pPr>
        <w:ind w:left="4507" w:hanging="293"/>
      </w:pPr>
      <w:rPr>
        <w:rFonts w:hint="default"/>
        <w:lang w:val="en-US" w:eastAsia="en-US" w:bidi="en-US"/>
      </w:rPr>
    </w:lvl>
    <w:lvl w:ilvl="5" w:tentative="0">
      <w:start w:val="0"/>
      <w:numFmt w:val="bullet"/>
      <w:lvlText w:val="•"/>
      <w:lvlJc w:val="left"/>
      <w:pPr>
        <w:ind w:left="5534" w:hanging="293"/>
      </w:pPr>
      <w:rPr>
        <w:rFonts w:hint="default"/>
        <w:lang w:val="en-US" w:eastAsia="en-US" w:bidi="en-US"/>
      </w:rPr>
    </w:lvl>
    <w:lvl w:ilvl="6" w:tentative="0">
      <w:start w:val="0"/>
      <w:numFmt w:val="bullet"/>
      <w:lvlText w:val="•"/>
      <w:lvlJc w:val="left"/>
      <w:pPr>
        <w:ind w:left="6561" w:hanging="293"/>
      </w:pPr>
      <w:rPr>
        <w:rFonts w:hint="default"/>
        <w:lang w:val="en-US" w:eastAsia="en-US" w:bidi="en-US"/>
      </w:rPr>
    </w:lvl>
    <w:lvl w:ilvl="7" w:tentative="0">
      <w:start w:val="0"/>
      <w:numFmt w:val="bullet"/>
      <w:lvlText w:val="•"/>
      <w:lvlJc w:val="left"/>
      <w:pPr>
        <w:ind w:left="7588" w:hanging="293"/>
      </w:pPr>
      <w:rPr>
        <w:rFonts w:hint="default"/>
        <w:lang w:val="en-US" w:eastAsia="en-US" w:bidi="en-US"/>
      </w:rPr>
    </w:lvl>
    <w:lvl w:ilvl="8" w:tentative="0">
      <w:start w:val="0"/>
      <w:numFmt w:val="bullet"/>
      <w:lvlText w:val="•"/>
      <w:lvlJc w:val="left"/>
      <w:pPr>
        <w:ind w:left="8615" w:hanging="293"/>
      </w:pPr>
      <w:rPr>
        <w:rFonts w:hint="default"/>
        <w:lang w:val="en-US" w:eastAsia="en-US" w:bidi="en-US"/>
      </w:rPr>
    </w:lvl>
  </w:abstractNum>
  <w:abstractNum w:abstractNumId="1">
    <w:nsid w:val="0AEC228B"/>
    <w:multiLevelType w:val="multilevel"/>
    <w:tmpl w:val="0AEC228B"/>
    <w:lvl w:ilvl="0" w:tentative="0">
      <w:start w:val="0"/>
      <w:numFmt w:val="bullet"/>
      <w:lvlText w:val=""/>
      <w:lvlJc w:val="left"/>
      <w:pPr>
        <w:ind w:left="830" w:hanging="361"/>
      </w:pPr>
      <w:rPr>
        <w:rFonts w:hint="default" w:ascii="Symbol" w:hAnsi="Symbol" w:eastAsia="Symbol" w:cs="Symbol"/>
        <w:w w:val="100"/>
        <w:sz w:val="22"/>
        <w:szCs w:val="22"/>
        <w:lang w:val="en-US" w:eastAsia="en-US" w:bidi="en-US"/>
      </w:rPr>
    </w:lvl>
    <w:lvl w:ilvl="1" w:tentative="0">
      <w:start w:val="0"/>
      <w:numFmt w:val="bullet"/>
      <w:lvlText w:val="•"/>
      <w:lvlJc w:val="left"/>
      <w:pPr>
        <w:ind w:left="1822" w:hanging="361"/>
      </w:pPr>
      <w:rPr>
        <w:rFonts w:hint="default"/>
        <w:lang w:val="en-US" w:eastAsia="en-US" w:bidi="en-US"/>
      </w:rPr>
    </w:lvl>
    <w:lvl w:ilvl="2" w:tentative="0">
      <w:start w:val="0"/>
      <w:numFmt w:val="bullet"/>
      <w:lvlText w:val="•"/>
      <w:lvlJc w:val="left"/>
      <w:pPr>
        <w:ind w:left="2805" w:hanging="361"/>
      </w:pPr>
      <w:rPr>
        <w:rFonts w:hint="default"/>
        <w:lang w:val="en-US" w:eastAsia="en-US" w:bidi="en-US"/>
      </w:rPr>
    </w:lvl>
    <w:lvl w:ilvl="3" w:tentative="0">
      <w:start w:val="0"/>
      <w:numFmt w:val="bullet"/>
      <w:lvlText w:val="•"/>
      <w:lvlJc w:val="left"/>
      <w:pPr>
        <w:ind w:left="3788" w:hanging="361"/>
      </w:pPr>
      <w:rPr>
        <w:rFonts w:hint="default"/>
        <w:lang w:val="en-US" w:eastAsia="en-US" w:bidi="en-US"/>
      </w:rPr>
    </w:lvl>
    <w:lvl w:ilvl="4" w:tentative="0">
      <w:start w:val="0"/>
      <w:numFmt w:val="bullet"/>
      <w:lvlText w:val="•"/>
      <w:lvlJc w:val="left"/>
      <w:pPr>
        <w:ind w:left="4771" w:hanging="361"/>
      </w:pPr>
      <w:rPr>
        <w:rFonts w:hint="default"/>
        <w:lang w:val="en-US" w:eastAsia="en-US" w:bidi="en-US"/>
      </w:rPr>
    </w:lvl>
    <w:lvl w:ilvl="5" w:tentative="0">
      <w:start w:val="0"/>
      <w:numFmt w:val="bullet"/>
      <w:lvlText w:val="•"/>
      <w:lvlJc w:val="left"/>
      <w:pPr>
        <w:ind w:left="5754" w:hanging="361"/>
      </w:pPr>
      <w:rPr>
        <w:rFonts w:hint="default"/>
        <w:lang w:val="en-US" w:eastAsia="en-US" w:bidi="en-US"/>
      </w:rPr>
    </w:lvl>
    <w:lvl w:ilvl="6" w:tentative="0">
      <w:start w:val="0"/>
      <w:numFmt w:val="bullet"/>
      <w:lvlText w:val="•"/>
      <w:lvlJc w:val="left"/>
      <w:pPr>
        <w:ind w:left="6737" w:hanging="361"/>
      </w:pPr>
      <w:rPr>
        <w:rFonts w:hint="default"/>
        <w:lang w:val="en-US" w:eastAsia="en-US" w:bidi="en-US"/>
      </w:rPr>
    </w:lvl>
    <w:lvl w:ilvl="7" w:tentative="0">
      <w:start w:val="0"/>
      <w:numFmt w:val="bullet"/>
      <w:lvlText w:val="•"/>
      <w:lvlJc w:val="left"/>
      <w:pPr>
        <w:ind w:left="7720" w:hanging="361"/>
      </w:pPr>
      <w:rPr>
        <w:rFonts w:hint="default"/>
        <w:lang w:val="en-US" w:eastAsia="en-US" w:bidi="en-US"/>
      </w:rPr>
    </w:lvl>
    <w:lvl w:ilvl="8" w:tentative="0">
      <w:start w:val="0"/>
      <w:numFmt w:val="bullet"/>
      <w:lvlText w:val="•"/>
      <w:lvlJc w:val="left"/>
      <w:pPr>
        <w:ind w:left="8703" w:hanging="361"/>
      </w:pPr>
      <w:rPr>
        <w:rFonts w:hint="default"/>
        <w:lang w:val="en-US" w:eastAsia="en-US" w:bidi="en-U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2"/>
  </w:compat>
  <w:rsids>
    <w:rsidRoot w:val="00DC069B"/>
    <w:rsid w:val="00DC069B"/>
    <w:rsid w:val="00DC7458"/>
    <w:rsid w:val="00E41B2B"/>
    <w:rsid w:val="0D610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宋体" w:cs="Times New Roman"/>
      <w:sz w:val="22"/>
      <w:szCs w:val="22"/>
      <w:lang w:val="en-US" w:eastAsia="zh-CN" w:bidi="en-US"/>
    </w:rPr>
  </w:style>
  <w:style w:type="paragraph" w:styleId="2">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3">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style>
  <w:style w:type="paragraph" w:styleId="7">
    <w:name w:val="Balloon Text"/>
    <w:basedOn w:val="1"/>
    <w:link w:val="15"/>
    <w:semiHidden/>
    <w:unhideWhenUsed/>
    <w:uiPriority w:val="99"/>
    <w:rPr>
      <w:sz w:val="18"/>
      <w:szCs w:val="18"/>
    </w:rPr>
  </w:style>
  <w:style w:type="paragraph" w:styleId="8">
    <w:name w:val="footer"/>
    <w:basedOn w:val="1"/>
    <w:link w:val="17"/>
    <w:semiHidden/>
    <w:unhideWhenUsed/>
    <w:uiPriority w:val="99"/>
    <w:pPr>
      <w:tabs>
        <w:tab w:val="center" w:pos="4153"/>
        <w:tab w:val="right" w:pos="8306"/>
      </w:tabs>
      <w:snapToGrid w:val="0"/>
    </w:pPr>
    <w:rPr>
      <w:sz w:val="18"/>
      <w:szCs w:val="18"/>
    </w:rPr>
  </w:style>
  <w:style w:type="paragraph" w:styleId="9">
    <w:name w:val="header"/>
    <w:basedOn w:val="1"/>
    <w:link w:val="16"/>
    <w:semiHidden/>
    <w:unhideWhenUsed/>
    <w:uiPriority w:val="99"/>
    <w:pPr>
      <w:pBdr>
        <w:bottom w:val="single" w:color="auto" w:sz="6" w:space="1"/>
      </w:pBdr>
      <w:tabs>
        <w:tab w:val="center" w:pos="4153"/>
        <w:tab w:val="right" w:pos="8306"/>
      </w:tabs>
      <w:snapToGrid w:val="0"/>
      <w:jc w:val="center"/>
    </w:pPr>
    <w:rPr>
      <w:sz w:val="18"/>
      <w:szCs w:val="18"/>
    </w:rPr>
  </w:style>
  <w:style w:type="table" w:customStyle="1" w:styleId="12">
    <w:name w:val="Table Normal"/>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style>
  <w:style w:type="paragraph" w:customStyle="1" w:styleId="14">
    <w:name w:val="Table Paragraph"/>
    <w:basedOn w:val="1"/>
    <w:qFormat/>
    <w:uiPriority w:val="1"/>
    <w:pPr>
      <w:spacing w:before="114"/>
      <w:ind w:left="110"/>
      <w:jc w:val="both"/>
    </w:pPr>
  </w:style>
  <w:style w:type="character" w:customStyle="1" w:styleId="15">
    <w:name w:val="批注框文本 Char"/>
    <w:basedOn w:val="11"/>
    <w:link w:val="7"/>
    <w:semiHidden/>
    <w:qFormat/>
    <w:uiPriority w:val="99"/>
    <w:rPr>
      <w:rFonts w:ascii="Times New Roman" w:hAnsi="Times New Roman" w:eastAsia="宋体" w:cs="Times New Roman"/>
      <w:sz w:val="18"/>
      <w:szCs w:val="18"/>
      <w:lang w:bidi="en-US"/>
    </w:rPr>
  </w:style>
  <w:style w:type="character" w:customStyle="1" w:styleId="16">
    <w:name w:val="页眉 Char"/>
    <w:basedOn w:val="11"/>
    <w:link w:val="9"/>
    <w:semiHidden/>
    <w:qFormat/>
    <w:uiPriority w:val="99"/>
    <w:rPr>
      <w:rFonts w:ascii="Times New Roman" w:hAnsi="Times New Roman" w:eastAsia="宋体" w:cs="Times New Roman"/>
      <w:sz w:val="18"/>
      <w:szCs w:val="18"/>
      <w:lang w:bidi="en-US"/>
    </w:rPr>
  </w:style>
  <w:style w:type="character" w:customStyle="1" w:styleId="17">
    <w:name w:val="页脚 Char"/>
    <w:basedOn w:val="11"/>
    <w:link w:val="8"/>
    <w:semiHidden/>
    <w:qFormat/>
    <w:uiPriority w:val="99"/>
    <w:rPr>
      <w:rFonts w:ascii="Times New Roman" w:hAnsi="Times New Roman" w:eastAsia="宋体" w:cs="Times New Roman"/>
      <w:sz w:val="18"/>
      <w:szCs w:val="18"/>
      <w:lang w:bidi="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majorFont>
      <a:minorFont>
        <a:latin typeface="Calibri"/>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24</Pages>
  <Words>3309</Words>
  <Characters>18865</Characters>
  <Lines>157</Lines>
  <Paragraphs>44</Paragraphs>
  <TotalTime>12</TotalTime>
  <ScaleCrop>false</ScaleCrop>
  <LinksUpToDate>false</LinksUpToDate>
  <CharactersWithSpaces>22130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2021-01-16T04:50:00Z</dcterms:created>
  <dc:creator>OECD</dc:creator>
  <cp:lastModifiedBy>蜜糖多士</cp:lastModifiedBy>
  <dcterms:modified xsi:type="dcterms:W3CDTF">2021-01-23T13:12:39Z</dcterms:modified>
  <dc:title>CRS-related Frequently Asked Questions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2019-02-19T00:00:00Z</vt:filetime>
  </property>
  <property fmtid="{D5CDD505-2E9C-101B-9397-08002B2CF9AE}" pid="3" name="Creator">
    <vt:lpwstr>Microsoft® Word 2016</vt:lpwstr>
  </property>
  <property fmtid="{D5CDD505-2E9C-101B-9397-08002B2CF9AE}" pid="4" name="LastSaved">
    <vt:filetime>2021-01-16T00:00:00Z</vt:filetime>
  </property>
  <property fmtid="{D5CDD505-2E9C-101B-9397-08002B2CF9AE}" pid="5" name="KSOProductBuildVer">
    <vt:lpwstr>2052-11.1.0.10314</vt:lpwstr>
  </property>
</Properties>
</file>