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3A6B"/>
          </w:tcPr>
          <w:p>
            <w:pPr>
              <w:jc w:val="center"/>
            </w:pPr>
            <w:r>
              <w:rPr>
                <w:rFonts w:ascii="Calibri" w:hAnsi="Calibri"/>
                <w:b/>
                <w:color w:val="FFFFFF"/>
                <w:sz w:val="30"/>
              </w:rPr>
              <w:t>FinnUp MSME Credit Intelligence Platform</w:t>
              <w:br/>
              <w:t>AI-Powered Lender Matching — Project Summary</w:t>
              <w:br/>
            </w:r>
            <w:r>
              <w:rPr>
                <w:rFonts w:ascii="Calibri" w:hAnsi="Calibri"/>
                <w:color w:val="DBEAFE"/>
                <w:sz w:val="20"/>
              </w:rPr>
              <w:t>APAL Programme  |  IIM Calcutta  |  Cohort 2 – Group 1  |  April 2026</w:t>
            </w:r>
          </w:p>
        </w:tc>
      </w:tr>
    </w:tbl>
    <w:p>
      <w:pPr>
        <w:spacing w:before="0"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0D9488"/>
          </w:tcPr>
          <w:p>
            <w:pPr>
              <w:jc w:val="center"/>
            </w:pPr>
            <w:r>
              <w:rPr>
                <w:rFonts w:ascii="Calibri" w:hAnsi="Calibri"/>
                <w:color w:val="FFFFFF"/>
                <w:sz w:val="19"/>
              </w:rPr>
              <w:t>Team (13 members):  Asha, Arvind, Anil, Bhupesh, Deepak, Ganesh, Gopal, Hareram, Pranali, Rahul, Savitha, Sonam, Samik</w:t>
            </w:r>
          </w:p>
        </w:tc>
      </w:tr>
    </w:tbl>
    <w:p>
      <w:pPr>
        <w:spacing w:before="0" w:after="60"/>
      </w:pP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Executive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6A34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✓  COMPLETED</w:t>
            </w:r>
          </w:p>
        </w:tc>
        <w:tc>
          <w:tcPr>
            <w:tcW w:type="dxa" w:w="3213"/>
            <w:shd w:val="clear" w:color="auto" w:fill="F59E0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⏳  IMMEDIATE (Week 1)</w:t>
            </w:r>
          </w:p>
        </w:tc>
        <w:tc>
          <w:tcPr>
            <w:tcW w:type="dxa" w:w="3213"/>
            <w:shd w:val="clear" w:color="auto" w:fill="1B3A6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◌  PLANNED (Weeks 2–8)</w:t>
            </w:r>
          </w:p>
        </w:tc>
      </w:tr>
      <w:tr>
        <w:tc>
          <w:tcPr>
            <w:tcW w:type="dxa" w:w="3213"/>
            <w:shd w:val="clear" w:color="auto" w:fill="DCFCE7"/>
          </w:tcPr>
          <w:p>
            <w:r>
              <w:rPr>
                <w:rFonts w:ascii="Calibri" w:hAnsi="Calibri"/>
                <w:color w:val="1E293B"/>
                <w:sz w:val="18"/>
              </w:rPr>
              <w:t>Phase 0: Problem scoping</w:t>
              <w:br/>
              <w:t>Phase 1: Full EDA (11 sections)</w:t>
              <w:br/>
              <w:t>Data extraction from FinnUp DB</w:t>
              <w:br/>
              <w:t>6,483 borrowers across 11 Excel sheets</w:t>
              <w:br/>
              <w:t>Feature audit: 50+ ML-ready signals</w:t>
              <w:br/>
              <w:t>Label mapping: FinnUp Status (Y/N)</w:t>
              <w:br/>
              <w:t>Director CIBIL: 86% coverage confirmed</w:t>
              <w:br/>
              <w:t>Bank data: 38% coverage mapped</w:t>
              <w:br/>
              <w:t>Missing value strategy defined</w:t>
            </w:r>
          </w:p>
        </w:tc>
        <w:tc>
          <w:tcPr>
            <w:tcW w:type="dxa" w:w="3213"/>
            <w:shd w:val="clear" w:color="auto" w:fill="FEF3C7"/>
          </w:tcPr>
          <w:p>
            <w:r>
              <w:rPr>
                <w:rFonts w:ascii="Calibri" w:hAnsi="Calibri"/>
                <w:color w:val="1E293B"/>
                <w:sz w:val="18"/>
              </w:rPr>
              <w:t>Collect outcome labels from FinnUp</w:t>
              <w:br/>
              <w:t>Expand training rows (multi-year)</w:t>
              <w:br/>
              <w:t>Confirm lender policy files</w:t>
              <w:br/>
              <w:t>Clarify AA/bank consent (62% gap)</w:t>
              <w:br/>
              <w:t>All 13 members aligned on Week 2 scope</w:t>
            </w:r>
          </w:p>
        </w:tc>
        <w:tc>
          <w:tcPr>
            <w:tcW w:type="dxa" w:w="3213"/>
            <w:shd w:val="clear" w:color="auto" w:fill="F5F7FA"/>
          </w:tcPr>
          <w:p>
            <w:r>
              <w:rPr>
                <w:rFonts w:ascii="Calibri" w:hAnsi="Calibri"/>
                <w:color w:val="1E293B"/>
                <w:sz w:val="18"/>
              </w:rPr>
              <w:t>Feature engineering (50+ features)</w:t>
              <w:br/>
              <w:t>XGBoost + LightGBM training</w:t>
              <w:br/>
              <w:t>Stage 2 lender ranking model</w:t>
              <w:br/>
              <w:t>SHAP-based explanations</w:t>
              <w:br/>
              <w:t>FastAPI REST scoring endpoint</w:t>
              <w:br/>
              <w:t>Docker containerisation</w:t>
              <w:br/>
              <w:t>FinnUp integration + UAT</w:t>
              <w:br/>
              <w:t>IIM final submission (May 31)</w:t>
            </w:r>
          </w:p>
        </w:tc>
      </w:tr>
    </w:tbl>
    <w:p>
      <w:pPr>
        <w:spacing w:before="0" w:after="60"/>
      </w:pPr>
    </w:p>
    <w:p>
      <w:pPr>
        <w:spacing w:before="0" w:after="0"/>
      </w:pPr>
      <w:r>
        <w:rPr>
          <w:color w:val="64748B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Key Data Facts (from EDA)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06"/>
        <w:gridCol w:w="1606"/>
        <w:gridCol w:w="1606"/>
        <w:gridCol w:w="1606"/>
        <w:gridCol w:w="1606"/>
        <w:gridCol w:w="1606"/>
      </w:tblGrid>
      <w:tr>
        <w:tc>
          <w:tcPr>
            <w:tcW w:type="dxa" w:w="1606"/>
            <w:shd w:val="clear" w:color="auto" w:fill="1B3A6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6,483</w:t>
            </w:r>
          </w:p>
        </w:tc>
        <w:tc>
          <w:tcPr>
            <w:tcW w:type="dxa" w:w="1606"/>
            <w:shd w:val="clear" w:color="auto" w:fill="0D948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86%</w:t>
            </w:r>
          </w:p>
        </w:tc>
        <w:tc>
          <w:tcPr>
            <w:tcW w:type="dxa" w:w="1606"/>
            <w:shd w:val="clear" w:color="auto" w:fill="7C3AE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38%</w:t>
            </w:r>
          </w:p>
        </w:tc>
        <w:tc>
          <w:tcPr>
            <w:tcW w:type="dxa" w:w="1606"/>
            <w:shd w:val="clear" w:color="auto" w:fill="F59E0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0.8%</w:t>
            </w:r>
          </w:p>
        </w:tc>
        <w:tc>
          <w:tcPr>
            <w:tcW w:type="dxa" w:w="1606"/>
            <w:shd w:val="clear" w:color="auto" w:fill="16A34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50+</w:t>
            </w:r>
          </w:p>
        </w:tc>
        <w:tc>
          <w:tcPr>
            <w:tcW w:type="dxa" w:w="1606"/>
            <w:shd w:val="clear" w:color="auto" w:fill="EF444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30"/>
              </w:rPr>
              <w:t>May 31</w:t>
            </w:r>
          </w:p>
        </w:tc>
      </w:tr>
      <w:tr>
        <w:tc>
          <w:tcPr>
            <w:tcW w:type="dxa" w:w="1606"/>
            <w:shd w:val="clear" w:color="auto" w:fill="F5F7FA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Unique borrowers</w:t>
              <w:br/>
              <w:t>(FinnUp DB)</w:t>
            </w:r>
          </w:p>
        </w:tc>
        <w:tc>
          <w:tcPr>
            <w:tcW w:type="dxa" w:w="1606"/>
            <w:shd w:val="clear" w:color="auto" w:fill="F5F7FA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Director CIBIL</w:t>
              <w:br/>
              <w:t>coverage</w:t>
            </w:r>
          </w:p>
        </w:tc>
        <w:tc>
          <w:tcPr>
            <w:tcW w:type="dxa" w:w="1606"/>
            <w:shd w:val="clear" w:color="auto" w:fill="F5F7FA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Bank statement</w:t>
              <w:br/>
              <w:t>coverage</w:t>
            </w:r>
          </w:p>
        </w:tc>
        <w:tc>
          <w:tcPr>
            <w:tcW w:type="dxa" w:w="1606"/>
            <w:shd w:val="clear" w:color="auto" w:fill="F5F7FA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Borrower CIBIL</w:t>
              <w:br/>
              <w:t>coverage</w:t>
            </w:r>
          </w:p>
        </w:tc>
        <w:tc>
          <w:tcPr>
            <w:tcW w:type="dxa" w:w="1606"/>
            <w:shd w:val="clear" w:color="auto" w:fill="F5F7FA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ML-ready</w:t>
              <w:br/>
              <w:t>features</w:t>
            </w:r>
          </w:p>
        </w:tc>
        <w:tc>
          <w:tcPr>
            <w:tcW w:type="dxa" w:w="1606"/>
            <w:shd w:val="clear" w:color="auto" w:fill="F5F7FA"/>
          </w:tcPr>
          <w:p>
            <w:pPr>
              <w:jc w:val="center"/>
            </w:pPr>
            <w:r>
              <w:rPr>
                <w:rFonts w:ascii="Calibri" w:hAnsi="Calibri"/>
                <w:b w:val="0"/>
                <w:i w:val="0"/>
                <w:color w:val="64748B"/>
                <w:sz w:val="17"/>
              </w:rPr>
              <w:t>Target</w:t>
              <w:br/>
              <w:t>completion</w:t>
            </w:r>
          </w:p>
        </w:tc>
      </w:tr>
    </w:tbl>
    <w:p>
      <w:pPr>
        <w:spacing w:before="0" w:after="6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6A34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PAGE 2 — WORK COMPLETED: PHASE 0 &amp; PHASE 1 (EDA)</w:t>
            </w:r>
          </w:p>
        </w:tc>
      </w:tr>
    </w:tbl>
    <w:p>
      <w:pPr>
        <w:spacing w:before="0" w:after="60"/>
      </w:pP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Phase 0: Problem Definition &amp; Setup (Jan–Feb 2026)</w:t>
      </w:r>
    </w:p>
    <w:p>
      <w:pPr>
        <w:pStyle w:val="ListBullet"/>
        <w:spacing w:after="20"/>
        <w:ind w:left="432"/>
      </w:pPr>
      <w:r>
        <w:rPr>
          <w:rFonts w:ascii="Calibri" w:hAnsi="Calibri"/>
          <w:sz w:val="20"/>
        </w:rPr>
        <w:t>Defined business problem: MSME borrowers on FinnUp platform are unmatched to lenders due to incomplete credit profiles</w:t>
      </w:r>
    </w:p>
    <w:p>
      <w:pPr>
        <w:pStyle w:val="ListBullet"/>
        <w:spacing w:after="20"/>
        <w:ind w:left="432"/>
      </w:pPr>
      <w:r>
        <w:rPr>
          <w:rFonts w:ascii="Calibri" w:hAnsi="Calibri"/>
          <w:sz w:val="20"/>
        </w:rPr>
        <w:t>Selected AI Canvas framework to validate problem-solution fit across all 6 canvas stages</w:t>
      </w:r>
    </w:p>
    <w:p>
      <w:pPr>
        <w:pStyle w:val="ListBullet"/>
        <w:spacing w:after="20"/>
        <w:ind w:left="432"/>
      </w:pPr>
      <w:r>
        <w:rPr>
          <w:rFonts w:ascii="Calibri" w:hAnsi="Calibri"/>
          <w:sz w:val="20"/>
        </w:rPr>
        <w:t>Confirmed data source: FinnUp production database extract → FinnUp_Borrowers.xlsx (11 sheets)</w:t>
      </w:r>
    </w:p>
    <w:p>
      <w:pPr>
        <w:pStyle w:val="ListBullet"/>
        <w:spacing w:after="20"/>
        <w:ind w:left="432"/>
      </w:pPr>
      <w:r>
        <w:rPr>
          <w:rFonts w:ascii="Calibri" w:hAnsi="Calibri"/>
          <w:sz w:val="20"/>
        </w:rPr>
        <w:t>Mapped available labels: FinnUp Status (YES = matched / NO = not matched) as binary training target</w:t>
      </w:r>
    </w:p>
    <w:p>
      <w:pPr>
        <w:pStyle w:val="ListBullet"/>
        <w:spacing w:after="20"/>
        <w:ind w:left="432"/>
      </w:pPr>
      <w:r>
        <w:rPr>
          <w:rFonts w:ascii="Calibri" w:hAnsi="Calibri"/>
          <w:sz w:val="20"/>
        </w:rPr>
        <w:t>Confirmed two-stage ML architecture: Stage 1 = credit scoring, Stage 2 = lender ranking</w:t>
      </w:r>
    </w:p>
    <w:p>
      <w:pPr>
        <w:pStyle w:val="ListBullet"/>
        <w:spacing w:after="20"/>
        <w:ind w:left="432"/>
      </w:pPr>
      <w:r>
        <w:rPr>
          <w:rFonts w:ascii="Calibri" w:hAnsi="Calibri"/>
          <w:sz w:val="20"/>
        </w:rPr>
        <w:t>Identified IIM Calcutta submission requirements and academic framework (explainability, fairness, model card)</w:t>
      </w:r>
    </w:p>
    <w:p>
      <w:pPr>
        <w:spacing w:before="0" w:after="60"/>
      </w:pP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Phase 1: Full EDA — 11 Sections Completed (Feb–Mar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D9488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EDA Section</w:t>
            </w:r>
          </w:p>
        </w:tc>
        <w:tc>
          <w:tcPr>
            <w:tcW w:type="dxa" w:w="4819"/>
            <w:shd w:val="clear" w:color="auto" w:fill="0D9488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Key Finding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Data Coverage Analysis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Borrower CIBIL: only 55/6,483 (0.8%) — unusable as primary feature. Director CIBIL: 5,587/6,483 (86%) — confirmed as primary credit proxy. Bank data: 2,489/6,483 (38%) — valuable secondary signal where available.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Company Type Distribution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Proprietorships dominate (67%). Private Ltd = 18%, Partnership = 9%, Others = 6%. Company type is a strong feature — encodes risk profile and lender eligibility.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Director CIBIL Analysis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Mean CIBIL 703; range 300–900. CIBIL &gt; 700 correlates strongly with FinnUp YES status. 14% missing — will be imputed using sector-median regression in feature engineering.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Bank Statement Risk Signals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Bounce ratio (bounces/total transactions), CDR (credit-debit ratio), and EOD balance mean/std quantified for 2,489 borrowers with bank data. High bounce ratio = strong negative signal.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Financial KPIs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Turnover 100% coverage — primary financial scale feature. Networth 92% coverage. DSCR (Debt Service Coverage Ratio) computed where loan + financial data available.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Geographic Distribution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Maharashtra (34%), Karnataka (18%), Delhi NCR (11%) are top states. State encoding needed — both one-hot and target encoding will be tested.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Loan Product Analysis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Term Loan 58%, Working Capital 27%, ODCC 9%, Invoice Discounting 6%. Loan amount relative to turnover (loan-to-turnover ratio) is a key derived feature.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Correlation &amp; Feature Importance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Top correlated features: Director CIBIL, Turnover, Networth, Bounce Ratio, Business Age. 30+ features confirmed ML-ready; feature importance analysis ready for Week 4.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Missing Value Strategy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Director CIBIL missing → sector-median imputation + cibil_missing flag. Bank data missing → fill 0 + has_bank_data flag. Financial KPIs missing → sector-median + kpi_missing flag.</w:t>
            </w:r>
          </w:p>
        </w:tc>
      </w:tr>
      <w:tr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Label Quality Assessment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FinnUp Status: 62% YES, 38% NO — mild imbalance, manageable with SMOTE or class weights. Confirmed as best available proxy label; true loan outcome labels to be collected in Week 1.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Data Quality Summary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11 sheets joined on Borrower ID. Key join: Profile + Director + Bank (38% overlap). No data leakage risk confirmed — all features are pre-application borrower attributes.</w:t>
            </w:r>
          </w:p>
        </w:tc>
      </w:tr>
    </w:tbl>
    <w:p>
      <w:pPr>
        <w:spacing w:before="0" w:after="6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PAGE 3 — WEEK-BY-WEEK PLAN TO MAY 31, 2026 (ALL 13 MEMBERS)</w:t>
            </w:r>
          </w:p>
        </w:tc>
      </w:tr>
    </w:tbl>
    <w:p>
      <w:pPr>
        <w:spacing w:before="0" w:after="60"/>
      </w:pPr>
    </w:p>
    <w:p>
      <w:pPr>
        <w:spacing w:before="0" w:after="60"/>
      </w:pPr>
      <w:r>
        <w:rPr>
          <w:rFonts w:ascii="Calibri" w:hAnsi="Calibri"/>
          <w:b w:val="0"/>
          <w:i/>
          <w:color w:val="64748B"/>
          <w:sz w:val="19"/>
        </w:rPr>
        <w:t>All 13 team members are assigned across every week. Week 8 (final report + submission) involves the full team.</w:t>
      </w:r>
    </w:p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28"/>
        <w:gridCol w:w="1928"/>
        <w:gridCol w:w="1928"/>
        <w:gridCol w:w="1928"/>
        <w:gridCol w:w="1928"/>
      </w:tblGrid>
      <w:tr>
        <w:tc>
          <w:tcPr>
            <w:tcW w:type="dxa" w:w="1928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Week</w:t>
            </w:r>
          </w:p>
        </w:tc>
        <w:tc>
          <w:tcPr>
            <w:tcW w:type="dxa" w:w="1928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Dates</w:t>
            </w:r>
          </w:p>
        </w:tc>
        <w:tc>
          <w:tcPr>
            <w:tcW w:type="dxa" w:w="1928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Phase / Theme</w:t>
            </w:r>
          </w:p>
        </w:tc>
        <w:tc>
          <w:tcPr>
            <w:tcW w:type="dxa" w:w="1928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Key Tasks (summary)</w:t>
            </w:r>
          </w:p>
        </w:tc>
        <w:tc>
          <w:tcPr>
            <w:tcW w:type="dxa" w:w="1928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Team Leads / All Members</w:t>
            </w:r>
          </w:p>
        </w:tc>
      </w:tr>
      <w:tr>
        <w:tc>
          <w:tcPr>
            <w:tcW w:type="dxa" w:w="1928"/>
            <w:shd w:val="clear" w:color="auto" w:fill="1B3A6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Week 1</w:t>
            </w:r>
          </w:p>
        </w:tc>
        <w:tc>
          <w:tcPr>
            <w:tcW w:type="dxa" w:w="1928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7–11 Apr</w:t>
            </w:r>
          </w:p>
        </w:tc>
        <w:tc>
          <w:tcPr>
            <w:tcW w:type="dxa" w:w="1928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Phase 2 Start: Labels + Data Augmentation</w:t>
            </w:r>
          </w:p>
        </w:tc>
        <w:tc>
          <w:tcPr>
            <w:tcW w:type="dxa" w:w="1928"/>
            <w:shd w:val="clear" w:color="auto" w:fill="F5F7FA"/>
          </w:tcPr>
          <w:p>
            <w:r>
              <w:rPr>
                <w:rFonts w:ascii="Calibri" w:hAnsi="Calibri"/>
                <w:color w:val="1E293B"/>
                <w:sz w:val="17"/>
              </w:rPr>
              <w:t xml:space="preserve">  ▸ Collect outcome labels (approved/rejected) from FinnUp for borrowers with known outcomes</w:t>
              <w:br/>
              <w:t xml:space="preserve">  ▸ Validate and lock FinnUp Status (Y/N) as proxy label — data agreement with FinnUp team</w:t>
              <w:br/>
              <w:t xml:space="preserve">  ▸ Explore multi-year historical loan applications to expand training dataset</w:t>
              <w:br/>
              <w:t xml:space="preserve">  ▸ Confirm all 11 lender policy files are complete, current and parsed correctly</w:t>
              <w:br/>
              <w:t xml:space="preserve">  ▸ Clarify AA (Account Aggregator) consent status — plan for 62% uncovered borrowers</w:t>
              <w:br/>
              <w:t xml:space="preserve">  ▸ Set up shared Git repository; all members aligned on folder structure and notebook naming</w:t>
            </w:r>
          </w:p>
        </w:tc>
        <w:tc>
          <w:tcPr>
            <w:tcW w:type="dxa" w:w="1928"/>
            <w:shd w:val="clear" w:color="auto" w:fill="F5F7FA"/>
          </w:tcPr>
          <w:p>
            <w:r>
              <w:rPr>
                <w:rFonts w:ascii="Calibri" w:hAnsi="Calibri"/>
                <w:b/>
                <w:color w:val="0D9488"/>
                <w:sz w:val="17"/>
              </w:rPr>
              <w:t>Ganesh, Hareram, Bhupesh, Savitha (data leads) + Asha, Arvind (policy review)</w:t>
              <w:br/>
            </w:r>
            <w:r>
              <w:rPr>
                <w:rFonts w:ascii="Calibri" w:hAnsi="Calibri"/>
                <w:i/>
                <w:color w:val="64748B"/>
                <w:sz w:val="16"/>
              </w:rPr>
              <w:t>Remaining members: Anil, Deepak, Gopal, Pranali, Rahul, Sonam, Samik (environment setup + EDA review)</w:t>
            </w:r>
          </w:p>
        </w:tc>
      </w:tr>
      <w:tr>
        <w:tc>
          <w:tcPr>
            <w:tcW w:type="dxa" w:w="1928"/>
            <w:shd w:val="clear" w:color="auto" w:fill="0D948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Week 2</w:t>
            </w:r>
          </w:p>
        </w:tc>
        <w:tc>
          <w:tcPr>
            <w:tcW w:type="dxa" w:w="19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14–18 Apr</w:t>
            </w:r>
          </w:p>
        </w:tc>
        <w:tc>
          <w:tcPr>
            <w:tcW w:type="dxa" w:w="19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Phase 2: Feature Engineering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7"/>
              </w:rPr>
              <w:t xml:space="preserve">  ▸ Build notebook 02_feature_engineering.ipynb — all transforms documented</w:t>
              <w:br/>
              <w:t xml:space="preserve">  ▸ Engineer Profile features: log(Turnover), log(LoanAmt), business age, company type (one-hot)</w:t>
              <w:br/>
              <w:t xml:space="preserve">  ▸ Engineer Director CIBIL features: min/max/avg across directors, cibil_missing flag</w:t>
              <w:br/>
              <w:t xml:space="preserve">  ▸ Build CIBIL imputation sub-model (regress on sector + financial features)</w:t>
              <w:br/>
              <w:t xml:space="preserve">  ▸ Engineer Bank Statement features: bounce_ratio, CDR, EOD_balance_mean, EOD_balance_std</w:t>
              <w:br/>
              <w:t xml:space="preserve">  ▸ Implement all missing value strategies identified in EDA (sector-median + flags)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b/>
                <w:color w:val="0D9488"/>
                <w:sz w:val="17"/>
              </w:rPr>
              <w:t>Pranali, Rahul, Anil, Asha (feature engineering leads)</w:t>
              <w:br/>
            </w:r>
            <w:r>
              <w:rPr>
                <w:rFonts w:ascii="Calibri" w:hAnsi="Calibri"/>
                <w:i/>
                <w:color w:val="64748B"/>
                <w:sz w:val="16"/>
              </w:rPr>
              <w:t>Remaining members: Arvind, Bhupesh, Deepak, Ganesh, Gopal, Hareram, Savitha, Sonam, Samik (review + validation)</w:t>
            </w:r>
          </w:p>
        </w:tc>
      </w:tr>
      <w:tr>
        <w:tc>
          <w:tcPr>
            <w:tcW w:type="dxa" w:w="1928"/>
            <w:shd w:val="clear" w:color="auto" w:fill="7C3AE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Week 3</w:t>
            </w:r>
          </w:p>
        </w:tc>
        <w:tc>
          <w:tcPr>
            <w:tcW w:type="dxa" w:w="1928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21–25 Apr</w:t>
            </w:r>
          </w:p>
        </w:tc>
        <w:tc>
          <w:tcPr>
            <w:tcW w:type="dxa" w:w="1928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Phase 2 cont.: Labels + Train-Test Split + Feature Selection</w:t>
            </w:r>
          </w:p>
        </w:tc>
        <w:tc>
          <w:tcPr>
            <w:tcW w:type="dxa" w:w="1928"/>
            <w:shd w:val="clear" w:color="auto" w:fill="F5F7FA"/>
          </w:tcPr>
          <w:p>
            <w:r>
              <w:rPr>
                <w:rFonts w:ascii="Calibri" w:hAnsi="Calibri"/>
                <w:color w:val="1E293B"/>
                <w:sz w:val="17"/>
              </w:rPr>
              <w:t xml:space="preserve">  ▸ Engineer Loan Request features: product type encoding, loan-to-turnover ratio</w:t>
              <w:br/>
              <w:t xml:space="preserve">  ▸ Engineer Financial KPI features: DSCR, networth-to-loan ratio, sector-median imputation</w:t>
              <w:br/>
              <w:t xml:space="preserve">  ▸ Build all derived / cross-sheet features (e.g. director_avg_cibil × has_bank_data)</w:t>
              <w:br/>
              <w:t xml:space="preserve">  ▸ Create final binary training label (1 = approved/matched, 0 = not)</w:t>
              <w:br/>
              <w:t xml:space="preserve">  ▸ Train-test split: 80/20 stratified by label; temporal holdout for last-3-month test set</w:t>
              <w:br/>
              <w:t xml:space="preserve">  ▸ Feature selection: remove near-zero variance and highly correlated pairs (r &gt; 0.95)</w:t>
            </w:r>
          </w:p>
        </w:tc>
        <w:tc>
          <w:tcPr>
            <w:tcW w:type="dxa" w:w="1928"/>
            <w:shd w:val="clear" w:color="auto" w:fill="F5F7FA"/>
          </w:tcPr>
          <w:p>
            <w:r>
              <w:rPr>
                <w:rFonts w:ascii="Calibri" w:hAnsi="Calibri"/>
                <w:b/>
                <w:color w:val="0D9488"/>
                <w:sz w:val="17"/>
              </w:rPr>
              <w:t>Pranali, Rahul, Deepak, Sonam (labels + feature selection)</w:t>
              <w:br/>
            </w:r>
            <w:r>
              <w:rPr>
                <w:rFonts w:ascii="Calibri" w:hAnsi="Calibri"/>
                <w:i/>
                <w:color w:val="64748B"/>
                <w:sz w:val="16"/>
              </w:rPr>
              <w:t>Remaining members: Asha, Anil, Arvind, Bhupesh, Ganesh, Gopal, Hareram, Savitha, Samik (peer review)</w:t>
            </w:r>
          </w:p>
        </w:tc>
      </w:tr>
      <w:tr>
        <w:tc>
          <w:tcPr>
            <w:tcW w:type="dxa" w:w="1928"/>
            <w:shd w:val="clear" w:color="auto" w:fill="7C3AE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Week 4</w:t>
            </w:r>
          </w:p>
        </w:tc>
        <w:tc>
          <w:tcPr>
            <w:tcW w:type="dxa" w:w="19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28 Apr – 2 May</w:t>
            </w:r>
          </w:p>
        </w:tc>
        <w:tc>
          <w:tcPr>
            <w:tcW w:type="dxa" w:w="19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Phase 3: Baseline + XGBoost Stage 1 Model Training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7"/>
              </w:rPr>
              <w:t xml:space="preserve">  ▸ Train Logistic Regression baseline (top-10 features) — establish AUC-ROC benchmark</w:t>
              <w:br/>
              <w:t xml:space="preserve">  ▸ Train XGBoost Stage 1 classifier: predict P(approval) per borrower-lender pair</w:t>
              <w:br/>
              <w:t xml:space="preserve">  ▸ Apply SMOTE oversampling + scale_pos_weight to handle 62/38 class imbalance</w:t>
              <w:br/>
              <w:t xml:space="preserve">  ▸ Hyperparameter tuning: Optuna / RandomizedSearchCV with 5-fold stratified CV</w:t>
              <w:br/>
              <w:t xml:space="preserve">  ▸ Evaluate: AUC-ROC, Precision, Recall, F1, Confusion Matrix on holdout test set</w:t>
              <w:br/>
              <w:t xml:space="preserve">  ▸ SHAP feature importance: identify top-15 predictive features across all lenders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b/>
                <w:color w:val="0D9488"/>
                <w:sz w:val="17"/>
              </w:rPr>
              <w:t>Rahul, Ganesh, Arvind, Gopal (model training leads)</w:t>
              <w:br/>
            </w:r>
            <w:r>
              <w:rPr>
                <w:rFonts w:ascii="Calibri" w:hAnsi="Calibri"/>
                <w:i/>
                <w:color w:val="64748B"/>
                <w:sz w:val="16"/>
              </w:rPr>
              <w:t>Remaining members: Asha, Anil, Bhupesh, Deepak, Hareram, Pranali, Savitha, Sonam, Samik (results review)</w:t>
            </w:r>
          </w:p>
        </w:tc>
      </w:tr>
      <w:tr>
        <w:tc>
          <w:tcPr>
            <w:tcW w:type="dxa" w:w="1928"/>
            <w:shd w:val="clear" w:color="auto" w:fill="0D948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Week 5</w:t>
            </w:r>
          </w:p>
        </w:tc>
        <w:tc>
          <w:tcPr>
            <w:tcW w:type="dxa" w:w="1928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5–9 May</w:t>
            </w:r>
          </w:p>
        </w:tc>
        <w:tc>
          <w:tcPr>
            <w:tcW w:type="dxa" w:w="1928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Phase 3 cont.: Stage 2 Lender Ranking + Model Card</w:t>
            </w:r>
          </w:p>
        </w:tc>
        <w:tc>
          <w:tcPr>
            <w:tcW w:type="dxa" w:w="1928"/>
            <w:shd w:val="clear" w:color="auto" w:fill="F5F7FA"/>
          </w:tcPr>
          <w:p>
            <w:r>
              <w:rPr>
                <w:rFonts w:ascii="Calibri" w:hAnsi="Calibri"/>
                <w:color w:val="1E293B"/>
                <w:sz w:val="17"/>
              </w:rPr>
              <w:t xml:space="preserve">  ▸ Build Stage 2: lender policy rule engine (hard eligibility filter — CIBIL min, sector, state)</w:t>
              <w:br/>
              <w:t xml:space="preserve">  ▸ For each eligible lender: run XGBoost to get P(approval); rank lenders highest to lowest</w:t>
              <w:br/>
              <w:t xml:space="preserve">  ▸ Define credit score bands: Poor (&lt;400), Fair (400–600), Good (600–750), Excellent (750+)</w:t>
              <w:br/>
              <w:t xml:space="preserve">  ▸ Generate SHAP-based 'Top 5 reasons' explanation per prediction</w:t>
              <w:br/>
              <w:t xml:space="preserve">  ▸ Write Model Card: metrics, limitations, fairness analysis by state and company type</w:t>
              <w:br/>
              <w:t xml:space="preserve">  ▸ End-to-end test on 200 sample borrowers — validate ranked output matches intuition</w:t>
            </w:r>
          </w:p>
        </w:tc>
        <w:tc>
          <w:tcPr>
            <w:tcW w:type="dxa" w:w="1928"/>
            <w:shd w:val="clear" w:color="auto" w:fill="F5F7FA"/>
          </w:tcPr>
          <w:p>
            <w:r>
              <w:rPr>
                <w:rFonts w:ascii="Calibri" w:hAnsi="Calibri"/>
                <w:b/>
                <w:color w:val="0D9488"/>
                <w:sz w:val="17"/>
              </w:rPr>
              <w:t>Rahul, Gopal, Samik, Savitha (lender ranking + model card)</w:t>
              <w:br/>
            </w:r>
            <w:r>
              <w:rPr>
                <w:rFonts w:ascii="Calibri" w:hAnsi="Calibri"/>
                <w:i/>
                <w:color w:val="64748B"/>
                <w:sz w:val="16"/>
              </w:rPr>
              <w:t>Remaining members: Asha, Anil, Arvind, Bhupesh, Deepak, Ganesh, Hareram, Pranali, Sonam (review)</w:t>
            </w:r>
          </w:p>
        </w:tc>
      </w:tr>
      <w:tr>
        <w:tc>
          <w:tcPr>
            <w:tcW w:type="dxa" w:w="1928"/>
            <w:shd w:val="clear" w:color="auto" w:fill="F59E0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Week 6</w:t>
            </w:r>
          </w:p>
        </w:tc>
        <w:tc>
          <w:tcPr>
            <w:tcW w:type="dxa" w:w="19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12–16 May</w:t>
            </w:r>
          </w:p>
        </w:tc>
        <w:tc>
          <w:tcPr>
            <w:tcW w:type="dxa" w:w="19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Phase 4: REST API Development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7"/>
              </w:rPr>
              <w:t xml:space="preserve">  ▸ Build FastAPI service: POST /v1/score (single borrower — response &lt;200ms)</w:t>
              <w:br/>
              <w:t xml:space="preserve">  ▸ Build POST /v1/score/batch (bulk scoring — 1,000 borrowers in &lt;10s)</w:t>
              <w:br/>
              <w:t xml:space="preserve">  ▸ Build GET /v1/lenders/match and GET /v1/health endpoints</w:t>
              <w:br/>
              <w:t xml:space="preserve">  ▸ Implement API key auth + Pydantic input validation + audit logging</w:t>
              <w:br/>
              <w:t xml:space="preserve">  ▸ Containerise with Docker — model .pkl file baked into image</w:t>
              <w:br/>
              <w:t xml:space="preserve">  ▸ Auto-generate OpenAPI/Swagger documentation for FinnUp Tech team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b/>
                <w:color w:val="0D9488"/>
                <w:sz w:val="17"/>
              </w:rPr>
              <w:t>Ganesh, Anil, Bhupesh, Hareram (API development leads)</w:t>
              <w:br/>
            </w:r>
            <w:r>
              <w:rPr>
                <w:rFonts w:ascii="Calibri" w:hAnsi="Calibri"/>
                <w:i/>
                <w:color w:val="64748B"/>
                <w:sz w:val="16"/>
              </w:rPr>
              <w:t>Remaining members: Asha, Arvind, Deepak, Gopal, Pranali, Rahul, Savitha, Sonam, Samik (testing + docs)</w:t>
            </w:r>
          </w:p>
        </w:tc>
      </w:tr>
      <w:tr>
        <w:tc>
          <w:tcPr>
            <w:tcW w:type="dxa" w:w="1928"/>
            <w:shd w:val="clear" w:color="auto" w:fill="EF4444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Week 7</w:t>
            </w:r>
          </w:p>
        </w:tc>
        <w:tc>
          <w:tcPr>
            <w:tcW w:type="dxa" w:w="1928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19–23 May</w:t>
            </w:r>
          </w:p>
        </w:tc>
        <w:tc>
          <w:tcPr>
            <w:tcW w:type="dxa" w:w="1928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Phase 4: FinnUp Integration + UAT</w:t>
            </w:r>
          </w:p>
        </w:tc>
        <w:tc>
          <w:tcPr>
            <w:tcW w:type="dxa" w:w="1928"/>
            <w:shd w:val="clear" w:color="auto" w:fill="F5F7FA"/>
          </w:tcPr>
          <w:p>
            <w:r>
              <w:rPr>
                <w:rFonts w:ascii="Calibri" w:hAnsi="Calibri"/>
                <w:color w:val="1E293B"/>
                <w:sz w:val="17"/>
              </w:rPr>
              <w:t xml:space="preserve">  ▸ Deploy Docker container to cloud (AWS/Azure) — live HTTPS URL provisioned</w:t>
              <w:br/>
              <w:t xml:space="preserve">  ▸ Share API URL + credentials with FinnUp Tech team; support webhook configuration</w:t>
              <w:br/>
              <w:t xml:space="preserve">  ▸ FinnUp maps scorecard fields (credit_score, risk_band, top_lenders) to dashboard</w:t>
              <w:br/>
              <w:t xml:space="preserve">  ▸ UAT: run 200 known-outcome borrowers through live API; review scores with FinnUp team</w:t>
              <w:br/>
              <w:t xml:space="preserve">  ▸ Validate SHAP explanations are interpretable to FinnUp loan officers</w:t>
              <w:br/>
              <w:t xml:space="preserve">  ▸ Fix any issues found during UAT; obtain UAT sign-off from FinnUp</w:t>
            </w:r>
          </w:p>
        </w:tc>
        <w:tc>
          <w:tcPr>
            <w:tcW w:type="dxa" w:w="1928"/>
            <w:shd w:val="clear" w:color="auto" w:fill="F5F7FA"/>
          </w:tcPr>
          <w:p>
            <w:r>
              <w:rPr>
                <w:rFonts w:ascii="Calibri" w:hAnsi="Calibri"/>
                <w:b/>
                <w:color w:val="0D9488"/>
                <w:sz w:val="17"/>
              </w:rPr>
              <w:t>Deepak, Asha, Sonam, Arvind (integration + UAT leads)</w:t>
              <w:br/>
            </w:r>
            <w:r>
              <w:rPr>
                <w:rFonts w:ascii="Calibri" w:hAnsi="Calibri"/>
                <w:i/>
                <w:color w:val="64748B"/>
                <w:sz w:val="16"/>
              </w:rPr>
              <w:t>Remaining members: Anil, Bhupesh, Ganesh, Gopal, Hareram, Pranali, Rahul, Savitha, Samik (support)</w:t>
            </w:r>
          </w:p>
        </w:tc>
      </w:tr>
      <w:tr>
        <w:tc>
          <w:tcPr>
            <w:tcW w:type="dxa" w:w="1928"/>
            <w:shd w:val="clear" w:color="auto" w:fill="16A34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Week 8</w:t>
            </w:r>
          </w:p>
        </w:tc>
        <w:tc>
          <w:tcPr>
            <w:tcW w:type="dxa" w:w="19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26–30 May</w:t>
            </w:r>
          </w:p>
        </w:tc>
        <w:tc>
          <w:tcPr>
            <w:tcW w:type="dxa" w:w="1928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Phase 5: Final Report + IIM Calcutta Submission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color w:val="1E293B"/>
                <w:sz w:val="17"/>
              </w:rPr>
              <w:t xml:space="preserve">  ▸ Write final IIM Calcutta capstone report: problem, approach, results, business impact</w:t>
              <w:br/>
              <w:t xml:space="preserve">  ▸ Compile all deliverables: model card, API documentation, UAT report, EDA report</w:t>
              <w:br/>
              <w:t xml:space="preserve">  ▸ Prepare final presentation deck (15 slides) for IIM Calcutta review panel</w:t>
              <w:br/>
              <w:t xml:space="preserve">  ▸ Document limitations, future work (monthly retraining, AA integration)</w:t>
              <w:br/>
              <w:t xml:space="preserve">  ▸ Academic reflections: AI Canvas validation, ethical considerations, fairness analysis</w:t>
              <w:br/>
              <w:t xml:space="preserve">  ▸ Submit all files to IIM Calcutta portal by May 31, 2026</w:t>
            </w:r>
          </w:p>
        </w:tc>
        <w:tc>
          <w:tcPr>
            <w:tcW w:type="dxa" w:w="1928"/>
            <w:shd w:val="clear" w:color="auto" w:fill="FFFFFF"/>
          </w:tcPr>
          <w:p>
            <w:r>
              <w:rPr>
                <w:rFonts w:ascii="Calibri" w:hAnsi="Calibri"/>
                <w:b/>
                <w:color w:val="0D9488"/>
                <w:sz w:val="17"/>
              </w:rPr>
              <w:t>ALL 13 MEMBERS — Full team submission</w:t>
              <w:br/>
            </w:r>
            <w:r>
              <w:rPr>
                <w:rFonts w:ascii="Calibri" w:hAnsi="Calibri"/>
                <w:i/>
                <w:color w:val="64748B"/>
                <w:sz w:val="16"/>
              </w:rPr>
              <w:t>Asha, Arvind, Anil, Bhupesh, Deepak, Ganesh, Gopal, Hareram, Pranali, Rahul, Savitha, Sonam, Samik</w:t>
            </w:r>
          </w:p>
        </w:tc>
      </w:tr>
    </w:tbl>
    <w:p>
      <w:pPr>
        <w:spacing w:before="0" w:after="6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7C3AED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PAGE 4 — TECHNICAL ARCHITECTURE: TWO-STAGE ML + API FLOW</w:t>
            </w:r>
          </w:p>
        </w:tc>
      </w:tr>
    </w:tbl>
    <w:p>
      <w:pPr>
        <w:spacing w:before="0" w:after="60"/>
      </w:pP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Two-Stage ML Architecture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0D9488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Stage 1 — Credit Scoring (XGBoost)</w:t>
            </w:r>
          </w:p>
        </w:tc>
        <w:tc>
          <w:tcPr>
            <w:tcW w:type="dxa" w:w="4819"/>
            <w:shd w:val="clear" w:color="auto" w:fill="7C3AED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1"/>
              </w:rPr>
              <w:t>Stage 2 — Lender Ranking &amp; Matching</w:t>
            </w:r>
          </w:p>
        </w:tc>
      </w:tr>
      <w:tr>
        <w:tc>
          <w:tcPr>
            <w:tcW w:type="dxa" w:w="4819"/>
            <w:shd w:val="clear" w:color="auto" w:fill="F5F7FA"/>
          </w:tcPr>
          <w:p>
            <w:r>
              <w:rPr>
                <w:rFonts w:ascii="Calibri" w:hAnsi="Calibri"/>
                <w:color w:val="1E293B"/>
                <w:sz w:val="19"/>
              </w:rPr>
              <w:t>Input: 50+ borrower features</w:t>
              <w:br/>
              <w:t>(Director CIBIL, Turnover, Bank Signals,</w:t>
              <w:br/>
              <w:t xml:space="preserve"> Company Type, Geography, Loan Details)</w:t>
              <w:br/>
              <w:br/>
              <w:t>Model: XGBoost Classifier</w:t>
              <w:br/>
              <w:t>Training: 80% split, 5-fold CV</w:t>
              <w:br/>
              <w:t>Imbalance: SMOTE + scale_pos_weight</w:t>
              <w:br/>
              <w:t>Tuning: Optuna hyperparameter search</w:t>
              <w:br/>
              <w:br/>
              <w:t>Output: P(approval) score 0–1</w:t>
              <w:br/>
              <w:t>Calibrated to credit score 0–1000</w:t>
              <w:br/>
              <w:t>Risk bands: Poor / Fair / Good / Excellent</w:t>
              <w:br/>
              <w:br/>
              <w:t>Explainability: SHAP top-5 reasons per borrower</w:t>
            </w:r>
          </w:p>
        </w:tc>
        <w:tc>
          <w:tcPr>
            <w:tcW w:type="dxa" w:w="4819"/>
            <w:shd w:val="clear" w:color="auto" w:fill="F5F7FA"/>
          </w:tcPr>
          <w:p>
            <w:r>
              <w:rPr>
                <w:rFonts w:ascii="Calibri" w:hAnsi="Calibri"/>
                <w:color w:val="1E293B"/>
                <w:sz w:val="19"/>
              </w:rPr>
              <w:t>Input: Stage 1 score + lender policy rules</w:t>
              <w:br/>
              <w:br/>
              <w:t>Step 1: Rule engine</w:t>
              <w:br/>
              <w:t xml:space="preserve">  Filter lenders by hard eligibility rules:</w:t>
              <w:br/>
              <w:t xml:space="preserve">  CIBIL minimum, sector, state, loan size</w:t>
              <w:br/>
              <w:br/>
              <w:t>Step 2: Score each eligible lender</w:t>
              <w:br/>
              <w:t xml:space="preserve">  Run XGBoost for each lender separately</w:t>
              <w:br/>
              <w:t xml:space="preserve">  Get P(approval | this lender)</w:t>
              <w:br/>
              <w:br/>
              <w:t>Step 3: Rank and recommend</w:t>
              <w:br/>
              <w:t xml:space="preserve">  Sort eligible lenders high to low</w:t>
              <w:br/>
              <w:t xml:space="preserve">  Return top 3 as recommendations</w:t>
              <w:br/>
              <w:br/>
              <w:t>Output: Ranked lender list + score + reasons</w:t>
            </w:r>
          </w:p>
        </w:tc>
      </w:tr>
    </w:tbl>
    <w:p>
      <w:pPr>
        <w:spacing w:before="0" w:after="60"/>
      </w:pP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End-to-End API Flow: Borrower Registration → Lender Receives Scored Lead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B3A6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1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Borrower registers on FinnUp portal</w:t>
            </w:r>
          </w:p>
        </w:tc>
      </w:tr>
      <w:tr>
        <w:tc>
          <w:tcPr>
            <w:tcW w:type="dxa" w:w="4819"/>
            <w:shd w:val="clear" w:color="auto" w:fill="0D948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2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FinnUp sends raw data to POST /v1/score  (HTTPS + API key — &lt;5ms)</w:t>
            </w:r>
          </w:p>
        </w:tc>
      </w:tr>
      <w:tr>
        <w:tc>
          <w:tcPr>
            <w:tcW w:type="dxa" w:w="4819"/>
            <w:shd w:val="clear" w:color="auto" w:fill="7C3AE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3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Feature pipeline: 50+ features computed from raw JSON (~5ms)</w:t>
            </w:r>
          </w:p>
        </w:tc>
      </w:tr>
      <w:tr>
        <w:tc>
          <w:tcPr>
            <w:tcW w:type="dxa" w:w="4819"/>
            <w:shd w:val="clear" w:color="auto" w:fill="F59E0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4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Lender rule engine: filter to eligible lenders only (~1ms)</w:t>
            </w:r>
          </w:p>
        </w:tc>
      </w:tr>
      <w:tr>
        <w:tc>
          <w:tcPr>
            <w:tcW w:type="dxa" w:w="4819"/>
            <w:shd w:val="clear" w:color="auto" w:fill="0D9488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5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XGBoost Stage 1: P(approval) score per borrower (~3ms)</w:t>
            </w:r>
          </w:p>
        </w:tc>
      </w:tr>
      <w:tr>
        <w:tc>
          <w:tcPr>
            <w:tcW w:type="dxa" w:w="4819"/>
            <w:shd w:val="clear" w:color="auto" w:fill="7C3AED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6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Stage 2 ranking: score each eligible lender, rank top 3 (~5ms)</w:t>
            </w:r>
          </w:p>
        </w:tc>
      </w:tr>
      <w:tr>
        <w:tc>
          <w:tcPr>
            <w:tcW w:type="dxa" w:w="4819"/>
            <w:shd w:val="clear" w:color="auto" w:fill="16A34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7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SHAP: generate 'Top 5 reasons' explanation (~10ms)</w:t>
            </w:r>
          </w:p>
        </w:tc>
      </w:tr>
      <w:tr>
        <w:tc>
          <w:tcPr>
            <w:tcW w:type="dxa" w:w="4819"/>
            <w:shd w:val="clear" w:color="auto" w:fill="1B3A6B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8</w:t>
            </w:r>
          </w:p>
        </w:tc>
        <w:tc>
          <w:tcPr>
            <w:tcW w:type="dxa" w:w="481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API returns JSON scorecard: score, risk band, top lenders, reasons (~1ms)</w:t>
            </w:r>
          </w:p>
        </w:tc>
      </w:tr>
      <w:tr>
        <w:tc>
          <w:tcPr>
            <w:tcW w:type="dxa" w:w="4819"/>
            <w:shd w:val="clear" w:color="auto" w:fill="16A34A"/>
          </w:tcPr>
          <w:p>
            <w:pPr>
              <w:jc w:val="center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Step 9</w:t>
            </w:r>
          </w:p>
        </w:tc>
        <w:tc>
          <w:tcPr>
            <w:tcW w:type="dxa" w:w="481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9"/>
              </w:rPr>
              <w:t>FinnUp dashboard shows scored lead to matched lender</w:t>
            </w:r>
          </w:p>
        </w:tc>
      </w:tr>
    </w:tbl>
    <w:p>
      <w:pPr>
        <w:spacing w:before="0" w:after="60"/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6A34A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&lt; 80ms total response</w:t>
              <w:br/>
            </w:r>
            <w:r>
              <w:rPr>
                <w:rFonts w:ascii="Calibri" w:hAnsi="Calibri"/>
                <w:color w:val="DBEAFE"/>
                <w:sz w:val="17"/>
              </w:rPr>
              <w:t>Single borrower (real-time)</w:t>
            </w:r>
          </w:p>
        </w:tc>
        <w:tc>
          <w:tcPr>
            <w:tcW w:type="dxa" w:w="3213"/>
            <w:shd w:val="clear" w:color="auto" w:fill="0D9488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&lt; 10 seconds total</w:t>
              <w:br/>
            </w:r>
            <w:r>
              <w:rPr>
                <w:rFonts w:ascii="Calibri" w:hAnsi="Calibri"/>
                <w:color w:val="DBEAFE"/>
                <w:sz w:val="17"/>
              </w:rPr>
              <w:t>1,000 borrowers (batch)</w:t>
            </w:r>
          </w:p>
        </w:tc>
        <w:tc>
          <w:tcPr>
            <w:tcW w:type="dxa" w:w="3213"/>
            <w:shd w:val="clear" w:color="auto" w:fill="1B3A6B"/>
          </w:tcPr>
          <w:p>
            <w:r>
              <w:rPr>
                <w:rFonts w:ascii="Calibri" w:hAnsi="Calibri"/>
                <w:b/>
                <w:color w:val="FFFFFF"/>
                <w:sz w:val="22"/>
              </w:rPr>
              <w:t>Once at API start — zero I/O per request</w:t>
              <w:br/>
            </w:r>
            <w:r>
              <w:rPr>
                <w:rFonts w:ascii="Calibri" w:hAnsi="Calibri"/>
                <w:color w:val="DBEAFE"/>
                <w:sz w:val="17"/>
              </w:rPr>
              <w:t>Model loaded in memory</w:t>
            </w:r>
          </w:p>
        </w:tc>
      </w:tr>
    </w:tbl>
    <w:p>
      <w:pPr>
        <w:spacing w:before="0" w:after="60"/>
      </w:pPr>
    </w:p>
    <w:p>
      <w:r>
        <w:br w:type="page"/>
      </w:r>
    </w:p>
    <w:tbl>
      <w:tblPr>
        <w:tblW w:type="auto" w:w="0"/>
        <w:jc w:val="left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25"/>
              </w:rPr>
              <w:t>PAGE 5 — FINAL DELIVERABLES, OPEN ITEMS &amp; TEAM</w:t>
            </w:r>
          </w:p>
        </w:tc>
      </w:tr>
    </w:tbl>
    <w:p>
      <w:pPr>
        <w:spacing w:before="0" w:after="60"/>
      </w:pP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Final Deliverables for IIM Calcutta (Due: May 31, 2026)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Deliverable</w:t>
            </w:r>
          </w:p>
        </w:tc>
        <w:tc>
          <w:tcPr>
            <w:tcW w:type="dxa" w:w="2409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Description</w:t>
            </w:r>
          </w:p>
        </w:tc>
        <w:tc>
          <w:tcPr>
            <w:tcW w:type="dxa" w:w="2409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Due</w:t>
            </w:r>
          </w:p>
        </w:tc>
        <w:tc>
          <w:tcPr>
            <w:tcW w:type="dxa" w:w="2409"/>
            <w:shd w:val="clear" w:color="auto" w:fill="1B3A6B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Status</w:t>
            </w:r>
          </w:p>
        </w:tc>
      </w:tr>
      <w:tr>
        <w:tc>
          <w:tcPr>
            <w:tcW w:type="dxa" w:w="2409"/>
            <w:shd w:val="clear" w:color="auto" w:fill="DCFCE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EDA Report</w:t>
            </w:r>
          </w:p>
        </w:tc>
        <w:tc>
          <w:tcPr>
            <w:tcW w:type="dxa" w:w="2409"/>
            <w:shd w:val="clear" w:color="auto" w:fill="DCFCE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EDA notebook (01_eda.ipynb) + auto-generated EDA PPT</w:t>
            </w:r>
          </w:p>
        </w:tc>
        <w:tc>
          <w:tcPr>
            <w:tcW w:type="dxa" w:w="2409"/>
            <w:shd w:val="clear" w:color="auto" w:fill="DCFCE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</w:r>
          </w:p>
        </w:tc>
        <w:tc>
          <w:tcPr>
            <w:tcW w:type="dxa" w:w="2409"/>
            <w:shd w:val="clear" w:color="auto" w:fill="DCFCE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6A34A"/>
                <w:sz w:val="18"/>
              </w:rPr>
              <w:t>✓ DONE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Feature Engineering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02_feature_engineering.ipynb — 50+ features, imputation pipeline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2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2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Trained ML Model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xgboost_model.pkl + feature_pipeline.pkl + lender_thresholds.pkl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4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4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Model Card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2-page formal doc: metrics, fairness analysis, limitations, use warnings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5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5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SHAP Explanations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Top-5 reason generation per prediction — visual + API output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5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5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REST API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FastAPI service — /v1/score, /v1/score/batch, /v1/lenders/match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6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6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API Documentation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Auto-generated OpenAPI/Swagger + integration guide for FinnUp Tech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6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6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Docker Container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Dockerfile + docker-compose — portable, cloud-deployable image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6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6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UAT Report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User Acceptance Test results — 200 borrowers, FinnUp team sign-off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7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7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Project Roadmap PPT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FinnUp_ProjectStatus_Roadmap.pptx — 15-slide stakeholder deck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8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8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IIM Submission PPT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FinnUp_IIM_Submission.pptx — 15-slide academic submission deck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8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8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Final Capstone Report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Full written report: problem, approach, results, business impact, ethics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8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8</w:t>
            </w:r>
          </w:p>
        </w:tc>
      </w:tr>
      <w:tr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Academic Reflection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AI Canvas validation, ethical considerations, fairness analysis section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64748B"/>
                <w:sz w:val="18"/>
              </w:rPr>
              <w:t>Week 8</w:t>
            </w:r>
          </w:p>
        </w:tc>
        <w:tc>
          <w:tcPr>
            <w:tcW w:type="dxa" w:w="2409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8"/>
              </w:rPr>
              <w:t>Week 8</w:t>
            </w:r>
          </w:p>
        </w:tc>
      </w:tr>
    </w:tbl>
    <w:p>
      <w:pPr>
        <w:spacing w:before="0" w:after="60"/>
      </w:pP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Open Blockers (Action Required — Week 1)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EF4444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Priority</w:t>
            </w:r>
          </w:p>
        </w:tc>
        <w:tc>
          <w:tcPr>
            <w:tcW w:type="dxa" w:w="3213"/>
            <w:shd w:val="clear" w:color="auto" w:fill="EF4444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Blocker</w:t>
            </w:r>
          </w:p>
        </w:tc>
        <w:tc>
          <w:tcPr>
            <w:tcW w:type="dxa" w:w="3213"/>
            <w:shd w:val="clear" w:color="auto" w:fill="EF4444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Owner</w:t>
            </w:r>
          </w:p>
        </w:tc>
      </w:tr>
      <w:tr>
        <w:tc>
          <w:tcPr>
            <w:tcW w:type="dxa" w:w="3213"/>
            <w:shd w:val="clear" w:color="auto" w:fill="FEE2E2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EF4444"/>
                <w:sz w:val="19"/>
              </w:rPr>
              <w:t>CRITICAL</w:t>
            </w:r>
          </w:p>
        </w:tc>
        <w:tc>
          <w:tcPr>
            <w:tcW w:type="dxa" w:w="3213"/>
            <w:shd w:val="clear" w:color="auto" w:fill="FEE2E2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Outcome labels not yet collected — FinnUp must provide approved/rejected history for as many of the 6,483 borrowers as possible. Without this, FinnUp Status proxy will be used and model quality may be lower.</w:t>
            </w:r>
          </w:p>
        </w:tc>
        <w:tc>
          <w:tcPr>
            <w:tcW w:type="dxa" w:w="3213"/>
            <w:shd w:val="clear" w:color="auto" w:fill="FEE2E2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B3A6B"/>
                <w:sz w:val="18"/>
              </w:rPr>
              <w:t>Ganesh + FinnUp Team</w:t>
            </w:r>
          </w:p>
        </w:tc>
      </w:tr>
      <w:tr>
        <w:tc>
          <w:tcPr>
            <w:tcW w:type="dxa" w:w="3213"/>
            <w:shd w:val="clear" w:color="auto" w:fill="FEE2E2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EF4444"/>
                <w:sz w:val="19"/>
              </w:rPr>
              <w:t>CRITICAL</w:t>
            </w:r>
          </w:p>
        </w:tc>
        <w:tc>
          <w:tcPr>
            <w:tcW w:type="dxa" w:w="3213"/>
            <w:shd w:val="clear" w:color="auto" w:fill="FEE2E2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Bank statement coverage only 38% (2,489 of 6,483 borrowers) — Account Aggregator (AA) consent process must be initiated for uncovered borrowers. Even partial improvement directly improves model accuracy.</w:t>
            </w:r>
          </w:p>
        </w:tc>
        <w:tc>
          <w:tcPr>
            <w:tcW w:type="dxa" w:w="3213"/>
            <w:shd w:val="clear" w:color="auto" w:fill="FEE2E2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B3A6B"/>
                <w:sz w:val="18"/>
              </w:rPr>
              <w:t>Hareram + FinnUp Team</w:t>
            </w:r>
          </w:p>
        </w:tc>
      </w:tr>
      <w:tr>
        <w:tc>
          <w:tcPr>
            <w:tcW w:type="dxa" w:w="3213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9"/>
              </w:rPr>
              <w:t>HIGH</w:t>
            </w:r>
          </w:p>
        </w:tc>
        <w:tc>
          <w:tcPr>
            <w:tcW w:type="dxa" w:w="3213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Lender policy files must be confirmed as complete and current — any outdated eligibility rules will cause incorrect lender filtering in Stage 2.</w:t>
            </w:r>
          </w:p>
        </w:tc>
        <w:tc>
          <w:tcPr>
            <w:tcW w:type="dxa" w:w="3213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B3A6B"/>
                <w:sz w:val="18"/>
              </w:rPr>
              <w:t>Bhupesh + Savitha</w:t>
            </w:r>
          </w:p>
        </w:tc>
      </w:tr>
      <w:tr>
        <w:tc>
          <w:tcPr>
            <w:tcW w:type="dxa" w:w="3213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59E0B"/>
                <w:sz w:val="19"/>
              </w:rPr>
              <w:t>MEDIUM</w:t>
            </w:r>
          </w:p>
        </w:tc>
        <w:tc>
          <w:tcPr>
            <w:tcW w:type="dxa" w:w="3213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Cloud environment (AWS/Azure) must be provisioned by Week 5 to allow dockerised API deployment in Week 6 and FinnUp integration in Week 7.</w:t>
            </w:r>
          </w:p>
        </w:tc>
        <w:tc>
          <w:tcPr>
            <w:tcW w:type="dxa" w:w="3213"/>
            <w:shd w:val="clear" w:color="auto" w:fill="FEF3C7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B3A6B"/>
                <w:sz w:val="18"/>
              </w:rPr>
              <w:t>Deepak + Arvind</w:t>
            </w:r>
          </w:p>
        </w:tc>
      </w:tr>
    </w:tbl>
    <w:p>
      <w:pPr>
        <w:spacing w:before="0" w:after="60"/>
      </w:pPr>
    </w:p>
    <w:p>
      <w:pPr>
        <w:spacing w:before="0" w:after="0"/>
      </w:pPr>
      <w:r>
        <w:rPr>
          <w:color w:val="64748B"/>
          <w:sz w:val="14"/>
        </w:rPr>
        <w:t>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─</w:t>
      </w:r>
    </w:p>
    <w:p>
      <w:pPr>
        <w:spacing w:before="0" w:after="60"/>
      </w:pPr>
    </w:p>
    <w:p>
      <w:pPr>
        <w:spacing w:before="120" w:after="40"/>
      </w:pPr>
      <w:r>
        <w:rPr>
          <w:rFonts w:ascii="Calibri" w:hAnsi="Calibri"/>
          <w:b/>
          <w:color w:val="1B3A6B"/>
          <w:sz w:val="22"/>
        </w:rPr>
        <w:t>Full Team — Cohort 2, Group 1 (13 Members)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  <w:shd w:val="clear" w:color="auto" w:fill="0D9488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Member</w:t>
            </w:r>
          </w:p>
        </w:tc>
        <w:tc>
          <w:tcPr>
            <w:tcW w:type="dxa" w:w="2409"/>
            <w:shd w:val="clear" w:color="auto" w:fill="0D9488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Primary Focus Areas</w:t>
            </w:r>
          </w:p>
        </w:tc>
        <w:tc>
          <w:tcPr>
            <w:tcW w:type="dxa" w:w="2409"/>
            <w:shd w:val="clear" w:color="auto" w:fill="0D9488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Member</w:t>
            </w:r>
          </w:p>
        </w:tc>
        <w:tc>
          <w:tcPr>
            <w:tcW w:type="dxa" w:w="2409"/>
            <w:shd w:val="clear" w:color="auto" w:fill="0D9488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FFFFFF"/>
                <w:sz w:val="19"/>
              </w:rPr>
              <w:t>Primary Focus Areas</w:t>
            </w:r>
          </w:p>
        </w:tc>
      </w:tr>
      <w:tr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Asha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EDA review, feature validation, UAT testing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Arvind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Lender policy review, integration support, final report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Anil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Feature engineering, API development, code review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Bhupesh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Data augmentation, lender policy confirmation, API testing</w:t>
            </w:r>
          </w:p>
        </w:tc>
      </w:tr>
      <w:tr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Deepak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Label creation, feature selection, FinnUp integration lead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Ganesh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Data lead, model training, project coordination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Gopal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Model training, Stage 2 lender ranking, results review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Hareram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Bank data / AA consent, API development, infrastructure</w:t>
            </w:r>
          </w:p>
        </w:tc>
      </w:tr>
      <w:tr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Pranali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Feature engineering lead, imputation pipeline, peer review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Rahul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Model training lead, XGBoost + SHAP, model card author</w:t>
            </w:r>
          </w:p>
        </w:tc>
      </w:tr>
      <w:tr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Savitha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Data validation, model card review, final report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Sonam</w:t>
            </w:r>
          </w:p>
        </w:tc>
        <w:tc>
          <w:tcPr>
            <w:tcW w:type="dxa" w:w="2409"/>
            <w:shd w:val="clear" w:color="auto" w:fill="F5F7FA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Label creation, feature engineering, FinnUp integration support</w:t>
            </w:r>
          </w:p>
        </w:tc>
      </w:tr>
      <w:tr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/>
                <w:i w:val="0"/>
                <w:color w:val="1B3A6B"/>
                <w:sz w:val="19"/>
              </w:rPr>
              <w:t>Samik</w:t>
            </w:r>
          </w:p>
        </w:tc>
        <w:tc>
          <w:tcPr>
            <w:tcW w:type="dxa" w:w="2409"/>
            <w:shd w:val="clear" w:color="auto" w:fill="FFFFFF"/>
          </w:tcPr>
          <w:p>
            <w:pPr>
              <w:jc w:val="left"/>
            </w:pPr>
            <w:r>
              <w:rPr>
                <w:rFonts w:ascii="Calibri" w:hAnsi="Calibri"/>
                <w:b w:val="0"/>
                <w:i w:val="0"/>
                <w:color w:val="1E293B"/>
                <w:sz w:val="18"/>
              </w:rPr>
              <w:t>Stage 2 ranking, end-to-end testing, presentation prep</w:t>
            </w:r>
          </w:p>
        </w:tc>
        <w:tc>
          <w:tcPr>
            <w:tcW w:type="dxa" w:w="2409"/>
          </w:tcPr>
          <w:p/>
        </w:tc>
        <w:tc>
          <w:tcPr>
            <w:tcW w:type="dxa" w:w="2409"/>
          </w:tcPr>
          <w:p/>
        </w:tc>
      </w:tr>
    </w:tbl>
    <w:p>
      <w:pPr>
        <w:spacing w:before="0" w:after="60"/>
      </w:pPr>
    </w:p>
    <w:tbl>
      <w:tblPr>
        <w:tblW w:type="auto" w:w="0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1B3A6B"/>
          </w:tcPr>
          <w:p>
            <w:pPr>
              <w:jc w:val="center"/>
            </w:pPr>
            <w:r>
              <w:rPr>
                <w:rFonts w:ascii="Calibri" w:hAnsi="Calibri"/>
                <w:color w:val="DBEAFE"/>
                <w:sz w:val="17"/>
              </w:rPr>
              <w:t>FinnUp MSME Credit Intelligence  |  APAL Cohort 2 – Group 1  |  IIM Calcutta  |  Target Completion: May 31, 2026  |  Confidential</w:t>
            </w:r>
          </w:p>
        </w:tc>
      </w:tr>
    </w:tbl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