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rFonts w:ascii="Calibri" w:hAnsi="Calibri"/>
          <w:b/>
          <w:color w:val="1B3A6B"/>
          <w:sz w:val="44"/>
        </w:rPr>
        <w:t>FinnUp MSME Lender Matching</w:t>
      </w:r>
    </w:p>
    <w:p>
      <w:pPr>
        <w:jc w:val="center"/>
      </w:pPr>
      <w:r>
        <w:rPr>
          <w:rFonts w:ascii="Calibri" w:hAnsi="Calibri"/>
          <w:color w:val="0D9488"/>
          <w:sz w:val="28"/>
        </w:rPr>
        <w:t>Project Status Report, Post-EDA Action Plan &amp; Delivery Roadmap</w:t>
      </w:r>
    </w:p>
    <w:p>
      <w:pPr>
        <w:spacing w:before="0" w:after="80"/>
        <w:jc w:val="left"/>
      </w:pPr>
    </w:p>
    <w:p>
      <w:pPr>
        <w:jc w:val="center"/>
      </w:pPr>
      <w:r>
        <w:rPr>
          <w:rFonts w:ascii="Calibri" w:hAnsi="Calibri"/>
          <w:color w:val="64748B"/>
          <w:sz w:val="22"/>
        </w:rPr>
        <w:t>APAL Programme  |  IIM Calcutta  |  Cohort 2  |  Group 1</w:t>
        <w:br/>
        <w:t>April 2026  |  Target completion: 31 May 2026</w:t>
      </w:r>
    </w:p>
    <w:p>
      <w:pPr>
        <w:spacing w:before="0" w:after="80"/>
        <w:jc w:val="left"/>
      </w:pPr>
    </w:p>
    <w:p>
      <w:pPr>
        <w:jc w:val="center"/>
      </w:pPr>
      <w:r>
        <w:rPr>
          <w:rFonts w:ascii="Calibri" w:hAnsi="Calibri"/>
          <w:color w:val="64748B"/>
          <w:sz w:val="20"/>
        </w:rPr>
        <w:t>Asha · Arvind · Anil · Bhupesh · Deepak · Ganesh · Gopal</w:t>
        <w:br/>
        <w:t>Hareram · Pranali · Rahul · Savitha · Sonam · Samik</w:t>
      </w:r>
    </w:p>
    <w:p>
      <w:r>
        <w:br w:type="page"/>
      </w:r>
    </w:p>
    <w:tbl>
      <w:tblPr>
        <w:tblW w:type="auto" w:w="0"/>
        <w:jc w:val="left"/>
        <w:tblLook w:firstColumn="1" w:firstRow="1" w:lastColumn="0" w:lastRow="0" w:noHBand="0" w:noVBand="1" w:val="04A0"/>
      </w:tblPr>
      <w:tblGrid>
        <w:gridCol w:w="9412"/>
      </w:tblGrid>
      <w:tr>
        <w:tc>
          <w:tcPr>
            <w:tcW w:type="dxa" w:w="9072"/>
            <w:shd w:val="clear" w:color="auto" w:fill="1B3A6B"/>
          </w:tcPr>
          <w:p>
            <w:pPr>
              <w:spacing w:before="80" w:after="80"/>
              <w:jc w:val="left"/>
            </w:pPr>
            <w:r>
              <w:rPr>
                <w:b/>
                <w:i w:val="0"/>
                <w:color w:val="FFFFFF"/>
                <w:sz w:val="26"/>
              </w:rPr>
              <w:t>SECTION 1 — WHAT IS COMPLETED  ✓</w:t>
            </w:r>
          </w:p>
        </w:tc>
      </w:tr>
    </w:tbl>
    <w:p/>
    <w:p>
      <w:pPr>
        <w:pStyle w:val="Heading2"/>
        <w:spacing w:before="240" w:after="80"/>
      </w:pPr>
      <w:r>
        <w:rPr>
          <w:rFonts w:ascii="Calibri" w:hAnsi="Calibri"/>
          <w:color w:val="1B3A6B"/>
        </w:rPr>
        <w:t>1.1  Phase 0 — Problem Definition &amp; Proposal (January 2026)</w:t>
      </w:r>
    </w:p>
    <w:p>
      <w:pPr>
        <w:spacing w:before="0" w:after="80"/>
        <w:jc w:val="left"/>
      </w:pPr>
      <w:r>
        <w:rPr>
          <w:rFonts w:ascii="Calibri" w:hAnsi="Calibri"/>
          <w:b w:val="0"/>
          <w:i w:val="0"/>
          <w:sz w:val="21"/>
        </w:rPr>
        <w:t>Submitted to IIM Calcutta on 18 January 2026. The following was delivered:</w:t>
      </w:r>
    </w:p>
    <w:p>
      <w:pPr>
        <w:pStyle w:val="ListBullet"/>
        <w:spacing w:after="40"/>
        <w:ind w:left="432"/>
      </w:pPr>
      <w:r>
        <w:rPr>
          <w:rFonts w:ascii="Calibri" w:hAnsi="Calibri"/>
          <w:b/>
          <w:color w:val="16A34A"/>
          <w:sz w:val="21"/>
        </w:rPr>
        <w:t xml:space="preserve">✓ </w:t>
      </w:r>
      <w:r>
        <w:rPr>
          <w:rFonts w:ascii="Calibri" w:hAnsi="Calibri"/>
          <w:sz w:val="21"/>
        </w:rPr>
        <w:t>Identified and framed the core business problem: FinnUp's rule-based engine achieves only 8–10% lead-to-conversion; 80–85% of sales effort is wasted on mismatched borrower-lender pairs</w:t>
      </w:r>
    </w:p>
    <w:p>
      <w:pPr>
        <w:pStyle w:val="ListBullet"/>
        <w:spacing w:after="40"/>
        <w:ind w:left="432"/>
      </w:pPr>
      <w:r>
        <w:rPr>
          <w:rFonts w:ascii="Calibri" w:hAnsi="Calibri"/>
          <w:b/>
          <w:color w:val="16A34A"/>
          <w:sz w:val="21"/>
        </w:rPr>
        <w:t xml:space="preserve">✓ </w:t>
      </w:r>
      <w:r>
        <w:rPr>
          <w:rFonts w:ascii="Calibri" w:hAnsi="Calibri"/>
          <w:sz w:val="21"/>
        </w:rPr>
        <w:t>Documented the four root causes: lack of intelligent filtering, late policy mismatch discovery, high rejection rates, and poor borrower experience</w:t>
      </w:r>
    </w:p>
    <w:p>
      <w:pPr>
        <w:pStyle w:val="ListBullet"/>
        <w:spacing w:after="40"/>
        <w:ind w:left="432"/>
      </w:pPr>
      <w:r>
        <w:rPr>
          <w:rFonts w:ascii="Calibri" w:hAnsi="Calibri"/>
          <w:b/>
          <w:color w:val="16A34A"/>
          <w:sz w:val="21"/>
        </w:rPr>
        <w:t xml:space="preserve">✓ </w:t>
      </w:r>
      <w:r>
        <w:rPr>
          <w:rFonts w:ascii="Calibri" w:hAnsi="Calibri"/>
          <w:sz w:val="21"/>
        </w:rPr>
        <w:t>Proposed a two-stage ML solution: Stage 1 predicts lender-specific approval probability (XGBoost); Stage 2 ranks eligible lenders by predicted acceptance</w:t>
      </w:r>
    </w:p>
    <w:p>
      <w:pPr>
        <w:pStyle w:val="ListBullet"/>
        <w:spacing w:after="40"/>
        <w:ind w:left="432"/>
      </w:pPr>
      <w:r>
        <w:rPr>
          <w:rFonts w:ascii="Calibri" w:hAnsi="Calibri"/>
          <w:b/>
          <w:color w:val="16A34A"/>
          <w:sz w:val="21"/>
        </w:rPr>
        <w:t xml:space="preserve">✓ </w:t>
      </w:r>
      <w:r>
        <w:rPr>
          <w:rFonts w:ascii="Calibri" w:hAnsi="Calibri"/>
          <w:sz w:val="21"/>
        </w:rPr>
        <w:t>Designed the full AI Canvas: Prediction → Judgement → Action → Outcome</w:t>
      </w:r>
    </w:p>
    <w:p>
      <w:pPr>
        <w:pStyle w:val="ListBullet"/>
        <w:spacing w:after="40"/>
        <w:ind w:left="432"/>
      </w:pPr>
      <w:r>
        <w:rPr>
          <w:rFonts w:ascii="Calibri" w:hAnsi="Calibri"/>
          <w:b/>
          <w:color w:val="16A34A"/>
          <w:sz w:val="21"/>
        </w:rPr>
        <w:t xml:space="preserve">✓ </w:t>
      </w:r>
      <w:r>
        <w:rPr>
          <w:rFonts w:ascii="Calibri" w:hAnsi="Calibri"/>
          <w:sz w:val="21"/>
        </w:rPr>
        <w:t>Defined the Continuous Learning Loop: every approval/rejection outcome retrains the model</w:t>
      </w:r>
    </w:p>
    <w:p>
      <w:pPr>
        <w:pStyle w:val="ListBullet"/>
        <w:spacing w:after="40"/>
        <w:ind w:left="432"/>
      </w:pPr>
      <w:r>
        <w:rPr>
          <w:rFonts w:ascii="Calibri" w:hAnsi="Calibri"/>
          <w:b/>
          <w:color w:val="16A34A"/>
          <w:sz w:val="21"/>
        </w:rPr>
        <w:t xml:space="preserve">✓ </w:t>
      </w:r>
      <w:r>
        <w:rPr>
          <w:rFonts w:ascii="Calibri" w:hAnsi="Calibri"/>
          <w:sz w:val="21"/>
        </w:rPr>
        <w:t>Set business targets: 11% → 75% conversion rate, 5× revenue by Year 3, 20% ROI in 2 years</w:t>
      </w:r>
    </w:p>
    <w:p>
      <w:pPr>
        <w:pStyle w:val="ListBullet"/>
        <w:spacing w:after="40"/>
        <w:ind w:left="432"/>
      </w:pPr>
      <w:r>
        <w:rPr>
          <w:rFonts w:ascii="Calibri" w:hAnsi="Calibri"/>
          <w:b/>
          <w:color w:val="16A34A"/>
          <w:sz w:val="21"/>
        </w:rPr>
        <w:t xml:space="preserve">✓ </w:t>
      </w:r>
      <w:r>
        <w:rPr>
          <w:rFonts w:ascii="Calibri" w:hAnsi="Calibri"/>
          <w:sz w:val="21"/>
        </w:rPr>
        <w:t>Quantified the market opportunity: 50 Lakh+ MSME leads, ₹20 lakh average ticket size, 10,000 qualified leads annually on FinnUp</w:t>
      </w:r>
    </w:p>
    <w:p>
      <w:pPr>
        <w:spacing w:before="40" w:after="40"/>
        <w:pBdr>
          <w:bottom w:val="single" w:sz="6" w:space="1" w:color="0D9488"/>
        </w:pBdr>
      </w:pPr>
    </w:p>
    <w:p>
      <w:pPr>
        <w:pStyle w:val="Heading2"/>
        <w:spacing w:before="240" w:after="80"/>
      </w:pPr>
      <w:r>
        <w:rPr>
          <w:rFonts w:ascii="Calibri" w:hAnsi="Calibri"/>
          <w:color w:val="1B3A6B"/>
        </w:rPr>
        <w:t>1.2  Phase 1 — Data Acquisition &amp; Exploratory Data Analysis (Feb–Apr 2026)</w:t>
      </w:r>
    </w:p>
    <w:p>
      <w:pPr>
        <w:spacing w:before="0" w:after="80"/>
        <w:jc w:val="left"/>
      </w:pPr>
      <w:r>
        <w:rPr>
          <w:rFonts w:ascii="Calibri" w:hAnsi="Calibri"/>
          <w:b w:val="0"/>
          <w:i w:val="0"/>
          <w:sz w:val="21"/>
        </w:rPr>
        <w:t>Data was extracted directly from FinnUp's production database and exported to Excel. A comprehensive EDA was completed across all 11 data sheets.</w:t>
      </w:r>
    </w:p>
    <w:p>
      <w:pPr>
        <w:pStyle w:val="Heading3"/>
        <w:spacing w:before="120" w:after="80"/>
      </w:pPr>
      <w:r>
        <w:rPr>
          <w:rFonts w:ascii="Calibri" w:hAnsi="Calibri"/>
          <w:color w:val="0D9488"/>
        </w:rPr>
        <w:t>1.2.1  Data Secured</w:t>
      </w:r>
    </w:p>
    <w:p>
      <w:pPr>
        <w:pStyle w:val="ListBullet"/>
        <w:spacing w:after="40"/>
        <w:ind w:left="432"/>
      </w:pPr>
      <w:r>
        <w:rPr>
          <w:rFonts w:ascii="Calibri" w:hAnsi="Calibri"/>
          <w:b/>
          <w:color w:val="16A34A"/>
          <w:sz w:val="21"/>
        </w:rPr>
        <w:t xml:space="preserve">✓ </w:t>
      </w:r>
      <w:r>
        <w:rPr>
          <w:rFonts w:ascii="Calibri" w:hAnsi="Calibri"/>
          <w:sz w:val="21"/>
        </w:rPr>
        <w:t>Real production data extracted from FinnUp's live database — not sample or synthetic data</w:t>
      </w:r>
    </w:p>
    <w:p>
      <w:pPr>
        <w:pStyle w:val="ListBullet"/>
        <w:spacing w:after="40"/>
        <w:ind w:left="432"/>
      </w:pPr>
      <w:r>
        <w:rPr>
          <w:rFonts w:ascii="Calibri" w:hAnsi="Calibri"/>
          <w:b/>
          <w:color w:val="16A34A"/>
          <w:sz w:val="21"/>
        </w:rPr>
        <w:t xml:space="preserve">✓ </w:t>
      </w:r>
      <w:r>
        <w:rPr>
          <w:rFonts w:ascii="Calibri" w:hAnsi="Calibri"/>
          <w:sz w:val="21"/>
        </w:rPr>
        <w:t>11 structured data sheets covering the full MSME borrower lifecycle</w:t>
      </w:r>
    </w:p>
    <w:p>
      <w:pPr>
        <w:pStyle w:val="ListBullet"/>
        <w:spacing w:after="40"/>
        <w:ind w:left="432"/>
      </w:pPr>
      <w:r>
        <w:rPr>
          <w:rFonts w:ascii="Calibri" w:hAnsi="Calibri"/>
          <w:b/>
          <w:color w:val="16A34A"/>
          <w:sz w:val="21"/>
        </w:rPr>
        <w:t xml:space="preserve">✓ </w:t>
      </w:r>
      <w:r>
        <w:rPr>
          <w:rFonts w:ascii="Calibri" w:hAnsi="Calibri"/>
          <w:sz w:val="21"/>
        </w:rPr>
        <w:t>6,483 unique MSME borrower profiles loaded and validated</w:t>
      </w:r>
    </w:p>
    <w:p>
      <w:pPr>
        <w:pStyle w:val="ListBullet"/>
        <w:spacing w:after="40"/>
        <w:ind w:left="432"/>
      </w:pPr>
      <w:r>
        <w:rPr>
          <w:rFonts w:ascii="Calibri" w:hAnsi="Calibri"/>
          <w:b/>
          <w:color w:val="16A34A"/>
          <w:sz w:val="21"/>
        </w:rPr>
        <w:t xml:space="preserve">✓ </w:t>
      </w:r>
      <w:r>
        <w:rPr>
          <w:rFonts w:ascii="Calibri" w:hAnsi="Calibri"/>
          <w:sz w:val="21"/>
        </w:rPr>
        <w:t>9,273 director records (average 1.4 directors per borrower)</w:t>
      </w:r>
    </w:p>
    <w:p>
      <w:pPr>
        <w:pStyle w:val="ListBullet"/>
        <w:spacing w:after="40"/>
        <w:ind w:left="432"/>
      </w:pPr>
      <w:r>
        <w:rPr>
          <w:rFonts w:ascii="Calibri" w:hAnsi="Calibri"/>
          <w:b/>
          <w:color w:val="16A34A"/>
          <w:sz w:val="21"/>
        </w:rPr>
        <w:t xml:space="preserve">✓ </w:t>
      </w:r>
      <w:r>
        <w:rPr>
          <w:rFonts w:ascii="Calibri" w:hAnsi="Calibri"/>
          <w:sz w:val="21"/>
        </w:rPr>
        <w:t>3,996 bank statement rows covering 2,489 borrowers (38% of total)</w:t>
      </w:r>
    </w:p>
    <w:p>
      <w:pPr>
        <w:pStyle w:val="ListBullet"/>
        <w:spacing w:after="40"/>
        <w:ind w:left="432"/>
      </w:pPr>
      <w:r>
        <w:rPr>
          <w:rFonts w:ascii="Calibri" w:hAnsi="Calibri"/>
          <w:b/>
          <w:color w:val="16A34A"/>
          <w:sz w:val="21"/>
        </w:rPr>
        <w:t xml:space="preserve">✓ </w:t>
      </w:r>
      <w:r>
        <w:rPr>
          <w:rFonts w:ascii="Calibri" w:hAnsi="Calibri"/>
          <w:sz w:val="21"/>
        </w:rPr>
        <w:t>Multi-year financial data: Balance Sheet, P&amp;L, Cash Flow, Financial KPIs, Financial Summary</w:t>
      </w:r>
    </w:p>
    <w:p>
      <w:pPr>
        <w:pStyle w:val="ListBullet"/>
        <w:spacing w:after="40"/>
        <w:ind w:left="432"/>
      </w:pPr>
      <w:r>
        <w:rPr>
          <w:rFonts w:ascii="Calibri" w:hAnsi="Calibri"/>
          <w:b/>
          <w:color w:val="16A34A"/>
          <w:sz w:val="21"/>
        </w:rPr>
        <w:t xml:space="preserve">✓ </w:t>
      </w:r>
      <w:r>
        <w:rPr>
          <w:rFonts w:ascii="Calibri" w:hAnsi="Calibri"/>
          <w:sz w:val="21"/>
        </w:rPr>
        <w:t>Loan request history: product applications, amounts, FinnUp status per borrower</w:t>
      </w:r>
    </w:p>
    <w:p>
      <w:pPr>
        <w:pStyle w:val="ListBullet"/>
        <w:spacing w:after="40"/>
        <w:ind w:left="432"/>
      </w:pPr>
      <w:r>
        <w:rPr>
          <w:rFonts w:ascii="Calibri" w:hAnsi="Calibri"/>
          <w:b/>
          <w:color w:val="16A34A"/>
          <w:sz w:val="21"/>
        </w:rPr>
        <w:t xml:space="preserve">✓ </w:t>
      </w:r>
      <w:r>
        <w:rPr>
          <w:rFonts w:ascii="Calibri" w:hAnsi="Calibri"/>
          <w:sz w:val="21"/>
        </w:rPr>
        <w:t>Document completeness and reference data captured</w:t>
      </w:r>
    </w:p>
    <w:p>
      <w:pPr>
        <w:pStyle w:val="Heading3"/>
        <w:spacing w:before="120" w:after="80"/>
      </w:pPr>
      <w:r>
        <w:rPr>
          <w:rFonts w:ascii="Calibri" w:hAnsi="Calibri"/>
          <w:color w:val="0D9488"/>
        </w:rPr>
        <w:t>1.2.2  EDA Completed</w:t>
      </w:r>
    </w:p>
    <w:p>
      <w:pPr>
        <w:pStyle w:val="ListBullet"/>
        <w:spacing w:after="40"/>
        <w:ind w:left="432"/>
      </w:pPr>
      <w:r>
        <w:rPr>
          <w:rFonts w:ascii="Calibri" w:hAnsi="Calibri"/>
          <w:b/>
          <w:color w:val="16A34A"/>
          <w:sz w:val="21"/>
        </w:rPr>
        <w:t xml:space="preserve">✓ </w:t>
      </w:r>
      <w:r>
        <w:rPr>
          <w:rFonts w:ascii="Calibri" w:hAnsi="Calibri"/>
          <w:sz w:val="21"/>
        </w:rPr>
        <w:t>Missing value analysis across all 50+ columns of the Borrower Profile sheet — identified 16 columns with &gt;50% missing</w:t>
      </w:r>
    </w:p>
    <w:p>
      <w:pPr>
        <w:pStyle w:val="ListBullet"/>
        <w:spacing w:after="40"/>
        <w:ind w:left="432"/>
      </w:pPr>
      <w:r>
        <w:rPr>
          <w:rFonts w:ascii="Calibri" w:hAnsi="Calibri"/>
          <w:b/>
          <w:color w:val="16A34A"/>
          <w:sz w:val="21"/>
        </w:rPr>
        <w:t xml:space="preserve">✓ </w:t>
      </w:r>
      <w:r>
        <w:rPr>
          <w:rFonts w:ascii="Calibri" w:hAnsi="Calibri"/>
          <w:sz w:val="21"/>
        </w:rPr>
        <w:t>CIBIL score analysis: only 55 borrowers (~0.8%) have actual borrower CIBIL scores — identified as critical data gap</w:t>
      </w:r>
    </w:p>
    <w:p>
      <w:pPr>
        <w:pStyle w:val="ListBullet"/>
        <w:spacing w:after="40"/>
        <w:ind w:left="432"/>
      </w:pPr>
      <w:r>
        <w:rPr>
          <w:rFonts w:ascii="Calibri" w:hAnsi="Calibri"/>
          <w:b/>
          <w:color w:val="16A34A"/>
          <w:sz w:val="21"/>
        </w:rPr>
        <w:t xml:space="preserve">✓ </w:t>
      </w:r>
      <w:r>
        <w:rPr>
          <w:rFonts w:ascii="Calibri" w:hAnsi="Calibri"/>
          <w:sz w:val="21"/>
        </w:rPr>
        <w:t>Director CIBIL profiled: 86% coverage across 9,273 director records — confirmed as primary credit proxy</w:t>
      </w:r>
    </w:p>
    <w:p>
      <w:pPr>
        <w:pStyle w:val="ListBullet"/>
        <w:spacing w:after="40"/>
        <w:ind w:left="432"/>
      </w:pPr>
      <w:r>
        <w:rPr>
          <w:rFonts w:ascii="Calibri" w:hAnsi="Calibri"/>
          <w:b/>
          <w:color w:val="16A34A"/>
          <w:sz w:val="21"/>
        </w:rPr>
        <w:t xml:space="preserve">✓ </w:t>
      </w:r>
      <w:r>
        <w:rPr>
          <w:rFonts w:ascii="Calibri" w:hAnsi="Calibri"/>
          <w:sz w:val="21"/>
        </w:rPr>
        <w:t>Turnover distribution: 100% coverage, log-normally distributed (median log ≈ 16.8 ≈ ₹20M range) — most reliable numeric feature</w:t>
      </w:r>
    </w:p>
    <w:p>
      <w:pPr>
        <w:pStyle w:val="ListBullet"/>
        <w:spacing w:after="40"/>
        <w:ind w:left="432"/>
      </w:pPr>
      <w:r>
        <w:rPr>
          <w:rFonts w:ascii="Calibri" w:hAnsi="Calibri"/>
          <w:b/>
          <w:color w:val="16A34A"/>
          <w:sz w:val="21"/>
        </w:rPr>
        <w:t xml:space="preserve">✓ </w:t>
      </w:r>
      <w:r>
        <w:rPr>
          <w:rFonts w:ascii="Calibri" w:hAnsi="Calibri"/>
          <w:sz w:val="21"/>
        </w:rPr>
        <w:t>Networth distribution: 92% coverage, right-skewed — reliable feature after log transformation</w:t>
      </w:r>
    </w:p>
    <w:p>
      <w:pPr>
        <w:pStyle w:val="ListBullet"/>
        <w:spacing w:after="40"/>
        <w:ind w:left="432"/>
      </w:pPr>
      <w:r>
        <w:rPr>
          <w:rFonts w:ascii="Calibri" w:hAnsi="Calibri"/>
          <w:b/>
          <w:color w:val="16A34A"/>
          <w:sz w:val="21"/>
        </w:rPr>
        <w:t xml:space="preserve">✓ </w:t>
      </w:r>
      <w:r>
        <w:rPr>
          <w:rFonts w:ascii="Calibri" w:hAnsi="Calibri"/>
          <w:sz w:val="21"/>
        </w:rPr>
        <w:t>Business age distribution: 51% coverage — usable with imputation</w:t>
      </w:r>
    </w:p>
    <w:p>
      <w:pPr>
        <w:pStyle w:val="ListBullet"/>
        <w:spacing w:after="40"/>
        <w:ind w:left="432"/>
      </w:pPr>
      <w:r>
        <w:rPr>
          <w:rFonts w:ascii="Calibri" w:hAnsi="Calibri"/>
          <w:b/>
          <w:color w:val="16A34A"/>
          <w:sz w:val="21"/>
        </w:rPr>
        <w:t xml:space="preserve">✓ </w:t>
      </w:r>
      <w:r>
        <w:rPr>
          <w:rFonts w:ascii="Calibri" w:hAnsi="Calibri"/>
          <w:sz w:val="21"/>
        </w:rPr>
        <w:t>Company type distribution: Proprietorships dominate at &gt;60%, followed by Private Limited companies</w:t>
      </w:r>
    </w:p>
    <w:p>
      <w:pPr>
        <w:pStyle w:val="ListBullet"/>
        <w:spacing w:after="40"/>
        <w:ind w:left="432"/>
      </w:pPr>
      <w:r>
        <w:rPr>
          <w:rFonts w:ascii="Calibri" w:hAnsi="Calibri"/>
          <w:b/>
          <w:color w:val="16A34A"/>
          <w:sz w:val="21"/>
        </w:rPr>
        <w:t xml:space="preserve">✓ </w:t>
      </w:r>
      <w:r>
        <w:rPr>
          <w:rFonts w:ascii="Calibri" w:hAnsi="Calibri"/>
          <w:sz w:val="21"/>
        </w:rPr>
        <w:t>Geographic distribution: state data available for 55% of borrowers; top 5 states identified</w:t>
      </w:r>
    </w:p>
    <w:p>
      <w:pPr>
        <w:pStyle w:val="ListBullet"/>
        <w:spacing w:after="40"/>
        <w:ind w:left="432"/>
      </w:pPr>
      <w:r>
        <w:rPr>
          <w:rFonts w:ascii="Calibri" w:hAnsi="Calibri"/>
          <w:b/>
          <w:color w:val="16A34A"/>
          <w:sz w:val="21"/>
        </w:rPr>
        <w:t xml:space="preserve">✓ </w:t>
      </w:r>
      <w:r>
        <w:rPr>
          <w:rFonts w:ascii="Calibri" w:hAnsi="Calibri"/>
          <w:sz w:val="21"/>
        </w:rPr>
        <w:t>Bank risk signals quantified: Bounce Ratio, Credit-Debit Ratio, Avg EOD Balance, Inward/Outward Cheque Bounces</w:t>
      </w:r>
    </w:p>
    <w:p>
      <w:pPr>
        <w:pStyle w:val="ListBullet"/>
        <w:spacing w:after="40"/>
        <w:ind w:left="432"/>
      </w:pPr>
      <w:r>
        <w:rPr>
          <w:rFonts w:ascii="Calibri" w:hAnsi="Calibri"/>
          <w:b/>
          <w:color w:val="16A34A"/>
          <w:sz w:val="21"/>
        </w:rPr>
        <w:t xml:space="preserve">✓ </w:t>
      </w:r>
      <w:r>
        <w:rPr>
          <w:rFonts w:ascii="Calibri" w:hAnsi="Calibri"/>
          <w:sz w:val="21"/>
        </w:rPr>
        <w:t>Label landscape mapped: FinnUp Status (best available binary label), Lead Status (99%+ unlabelled), Count Disbursed &gt; 0 (6% of borrowers)</w:t>
      </w:r>
    </w:p>
    <w:p>
      <w:pPr>
        <w:pStyle w:val="ListBullet"/>
        <w:spacing w:after="40"/>
        <w:ind w:left="432"/>
      </w:pPr>
      <w:r>
        <w:rPr>
          <w:rFonts w:ascii="Calibri" w:hAnsi="Calibri"/>
          <w:b/>
          <w:color w:val="16A34A"/>
          <w:sz w:val="21"/>
        </w:rPr>
        <w:t xml:space="preserve">✓ </w:t>
      </w:r>
      <w:r>
        <w:rPr>
          <w:rFonts w:ascii="Calibri" w:hAnsi="Calibri"/>
          <w:sz w:val="21"/>
        </w:rPr>
        <w:t>Financial KPI analysis: DSCR, Current Ratio, Net Profit Margin, Debt-Equity Ratio — available for only 500 borrowers (7.7%)</w:t>
      </w:r>
    </w:p>
    <w:p>
      <w:pPr>
        <w:pStyle w:val="ListBullet"/>
        <w:spacing w:after="40"/>
        <w:ind w:left="432"/>
      </w:pPr>
      <w:r>
        <w:rPr>
          <w:rFonts w:ascii="Calibri" w:hAnsi="Calibri"/>
          <w:b/>
          <w:color w:val="16A34A"/>
          <w:sz w:val="21"/>
        </w:rPr>
        <w:t xml:space="preserve">✓ </w:t>
      </w:r>
      <w:r>
        <w:rPr>
          <w:rFonts w:ascii="Calibri" w:hAnsi="Calibri"/>
          <w:sz w:val="21"/>
        </w:rPr>
        <w:t>Correlation matrix computed across 30+ numeric features — key co-linear groups identified</w:t>
      </w:r>
    </w:p>
    <w:p>
      <w:pPr>
        <w:pStyle w:val="ListBullet"/>
        <w:spacing w:after="40"/>
        <w:ind w:left="432"/>
      </w:pPr>
      <w:r>
        <w:rPr>
          <w:rFonts w:ascii="Calibri" w:hAnsi="Calibri"/>
          <w:b/>
          <w:color w:val="16A34A"/>
          <w:sz w:val="21"/>
        </w:rPr>
        <w:t xml:space="preserve">✓ </w:t>
      </w:r>
      <w:r>
        <w:rPr>
          <w:rFonts w:ascii="Calibri" w:hAnsi="Calibri"/>
          <w:sz w:val="21"/>
        </w:rPr>
        <w:t>30+ features identified as production-ready for ML model training</w:t>
      </w:r>
    </w:p>
    <w:p>
      <w:pPr>
        <w:pStyle w:val="ListBullet"/>
        <w:spacing w:after="40"/>
        <w:ind w:left="432"/>
      </w:pPr>
      <w:r>
        <w:rPr>
          <w:rFonts w:ascii="Calibri" w:hAnsi="Calibri"/>
          <w:b/>
          <w:color w:val="16A34A"/>
          <w:sz w:val="21"/>
        </w:rPr>
        <w:t xml:space="preserve">✓ </w:t>
      </w:r>
      <w:r>
        <w:rPr>
          <w:rFonts w:ascii="Calibri" w:hAnsi="Calibri"/>
          <w:sz w:val="21"/>
        </w:rPr>
        <w:t>Full EDA automated as a self-regenerating Python notebook and PowerPoint report</w:t>
      </w:r>
    </w:p>
    <w:p>
      <w:pPr>
        <w:spacing w:before="40" w:after="40"/>
        <w:pBdr>
          <w:bottom w:val="single" w:sz="6" w:space="1" w:color="0D9488"/>
        </w:pBdr>
      </w:pPr>
    </w:p>
    <w:p>
      <w:r>
        <w:br w:type="page"/>
      </w:r>
    </w:p>
    <w:tbl>
      <w:tblPr>
        <w:tblW w:type="auto" w:w="0"/>
        <w:jc w:val="left"/>
        <w:tblLook w:firstColumn="1" w:firstRow="1" w:lastColumn="0" w:lastRow="0" w:noHBand="0" w:noVBand="1" w:val="04A0"/>
      </w:tblPr>
      <w:tblGrid>
        <w:gridCol w:w="9412"/>
      </w:tblGrid>
      <w:tr>
        <w:tc>
          <w:tcPr>
            <w:tcW w:type="dxa" w:w="9072"/>
            <w:shd w:val="clear" w:color="auto" w:fill="0D9488"/>
          </w:tcPr>
          <w:p>
            <w:pPr>
              <w:spacing w:before="80" w:after="80"/>
              <w:jc w:val="left"/>
            </w:pPr>
            <w:r>
              <w:rPr>
                <w:b/>
                <w:i w:val="0"/>
                <w:color w:val="FFFFFF"/>
                <w:sz w:val="26"/>
              </w:rPr>
              <w:t>SECTION 2 — KEY EDA FINDINGS &amp; IMPLICATIONS</w:t>
            </w:r>
          </w:p>
        </w:tc>
      </w:tr>
    </w:tbl>
    <w:p/>
    <w:p>
      <w:pPr>
        <w:pStyle w:val="Heading2"/>
        <w:spacing w:before="240" w:after="80"/>
      </w:pPr>
      <w:r>
        <w:rPr>
          <w:rFonts w:ascii="Calibri" w:hAnsi="Calibri"/>
          <w:color w:val="1B3A6B"/>
        </w:rPr>
        <w:t>2.1  Critical Data Gaps Found</w:t>
      </w:r>
    </w:p>
    <w:p>
      <w:pPr>
        <w:spacing w:before="0" w:after="80"/>
        <w:jc w:val="left"/>
      </w:pPr>
      <w:r>
        <w:rPr>
          <w:rFonts w:ascii="Calibri" w:hAnsi="Calibri"/>
          <w:b w:val="0"/>
          <w:i w:val="0"/>
          <w:sz w:val="21"/>
        </w:rPr>
        <w:t>The EDA revealed several important gaps that must be addressed before model training:</w:t>
      </w:r>
    </w:p>
    <w:tbl>
      <w:tblPr>
        <w:tblStyle w:val="TableGrid"/>
        <w:tblW w:type="auto" w:w="0"/>
        <w:jc w:val="left"/>
        <w:tblLook w:firstColumn="1" w:firstRow="1" w:lastColumn="0" w:lastRow="0" w:noHBand="0" w:noVBand="1" w:val="04A0"/>
      </w:tblPr>
      <w:tblGrid>
        <w:gridCol w:w="4706"/>
        <w:gridCol w:w="4706"/>
      </w:tblGrid>
      <w:tr>
        <w:tc>
          <w:tcPr>
            <w:tcW w:type="dxa" w:w="4706"/>
            <w:shd w:val="clear" w:color="auto" w:fill="1B3A6B"/>
          </w:tcPr>
          <w:p>
            <w:pPr>
              <w:jc w:val="left"/>
            </w:pPr>
            <w:r>
              <w:rPr>
                <w:b/>
                <w:i w:val="0"/>
                <w:color w:val="FFFFFF"/>
                <w:sz w:val="21"/>
              </w:rPr>
              <w:t>Data Gap Identified</w:t>
            </w:r>
          </w:p>
        </w:tc>
        <w:tc>
          <w:tcPr>
            <w:tcW w:type="dxa" w:w="4706"/>
            <w:shd w:val="clear" w:color="auto" w:fill="1B3A6B"/>
          </w:tcPr>
          <w:p>
            <w:pPr>
              <w:jc w:val="left"/>
            </w:pPr>
            <w:r>
              <w:rPr>
                <w:b/>
                <w:i w:val="0"/>
                <w:color w:val="FFFFFF"/>
                <w:sz w:val="21"/>
              </w:rPr>
              <w:t>Recommended Action</w:t>
            </w:r>
          </w:p>
        </w:tc>
      </w:tr>
      <w:tr>
        <w:tc>
          <w:tcPr>
            <w:tcW w:type="dxa" w:w="4706"/>
            <w:shd w:val="clear" w:color="auto" w:fill="F5F7FA"/>
          </w:tcPr>
          <w:p>
            <w:pPr>
              <w:jc w:val="left"/>
            </w:pPr>
            <w:r>
              <w:rPr>
                <w:b w:val="0"/>
                <w:i w:val="0"/>
                <w:color w:val="1E293B"/>
                <w:sz w:val="20"/>
              </w:rPr>
              <w:t>Borrower CIBIL Score: Only 0.8% coverage (55 of 6,483 borrowers)</w:t>
            </w:r>
          </w:p>
        </w:tc>
        <w:tc>
          <w:tcPr>
            <w:tcW w:type="dxa" w:w="4706"/>
            <w:shd w:val="clear" w:color="auto" w:fill="F5F7FA"/>
          </w:tcPr>
          <w:p>
            <w:pPr>
              <w:jc w:val="left"/>
            </w:pPr>
            <w:r>
              <w:rPr>
                <w:b w:val="0"/>
                <w:i w:val="0"/>
                <w:color w:val="1E293B"/>
                <w:sz w:val="20"/>
              </w:rPr>
              <w:t>Action: Use Director CIBIL (86% coverage) as proxy; build a CIBIL imputation model</w:t>
            </w:r>
          </w:p>
        </w:tc>
      </w:tr>
      <w:tr>
        <w:tc>
          <w:tcPr>
            <w:tcW w:type="dxa" w:w="4706"/>
            <w:shd w:val="clear" w:color="auto" w:fill="FFFFFF"/>
          </w:tcPr>
          <w:p>
            <w:pPr>
              <w:jc w:val="left"/>
            </w:pPr>
            <w:r>
              <w:rPr>
                <w:b w:val="0"/>
                <w:i w:val="0"/>
                <w:color w:val="1E293B"/>
                <w:sz w:val="20"/>
              </w:rPr>
              <w:t>Bank Statement Data: Only 38% of borrowers have bank data (2,489 of 6,483)</w:t>
            </w:r>
          </w:p>
        </w:tc>
        <w:tc>
          <w:tcPr>
            <w:tcW w:type="dxa" w:w="4706"/>
            <w:shd w:val="clear" w:color="auto" w:fill="FFFFFF"/>
          </w:tcPr>
          <w:p>
            <w:pPr>
              <w:jc w:val="left"/>
            </w:pPr>
            <w:r>
              <w:rPr>
                <w:b w:val="0"/>
                <w:i w:val="0"/>
                <w:color w:val="1E293B"/>
                <w:sz w:val="20"/>
              </w:rPr>
              <w:t>Action: Expand bank data collection via Account Aggregator (AA) consent; use as optional feature with missingness flag</w:t>
            </w:r>
          </w:p>
        </w:tc>
      </w:tr>
      <w:tr>
        <w:tc>
          <w:tcPr>
            <w:tcW w:type="dxa" w:w="4706"/>
            <w:shd w:val="clear" w:color="auto" w:fill="F5F7FA"/>
          </w:tcPr>
          <w:p>
            <w:pPr>
              <w:jc w:val="left"/>
            </w:pPr>
            <w:r>
              <w:rPr>
                <w:b w:val="0"/>
                <w:i w:val="0"/>
                <w:color w:val="1E293B"/>
                <w:sz w:val="20"/>
              </w:rPr>
              <w:t>Financial KPI Data: Only 7.7% coverage (500 borrowers)</w:t>
            </w:r>
          </w:p>
        </w:tc>
        <w:tc>
          <w:tcPr>
            <w:tcW w:type="dxa" w:w="4706"/>
            <w:shd w:val="clear" w:color="auto" w:fill="F5F7FA"/>
          </w:tcPr>
          <w:p>
            <w:pPr>
              <w:jc w:val="left"/>
            </w:pPr>
            <w:r>
              <w:rPr>
                <w:b w:val="0"/>
                <w:i w:val="0"/>
                <w:color w:val="1E293B"/>
                <w:sz w:val="20"/>
              </w:rPr>
              <w:t>Action: Use as a supplementary feature with 'KPI available' binary flag; impute with sector-level medians</w:t>
            </w:r>
          </w:p>
        </w:tc>
      </w:tr>
      <w:tr>
        <w:tc>
          <w:tcPr>
            <w:tcW w:type="dxa" w:w="4706"/>
            <w:shd w:val="clear" w:color="auto" w:fill="FFFFFF"/>
          </w:tcPr>
          <w:p>
            <w:pPr>
              <w:jc w:val="left"/>
            </w:pPr>
            <w:r>
              <w:rPr>
                <w:b w:val="0"/>
                <w:i w:val="0"/>
                <w:color w:val="1E293B"/>
                <w:sz w:val="20"/>
              </w:rPr>
              <w:t>Lead Status Label: 99%+ of borrowers are unlabelled</w:t>
            </w:r>
          </w:p>
        </w:tc>
        <w:tc>
          <w:tcPr>
            <w:tcW w:type="dxa" w:w="4706"/>
            <w:shd w:val="clear" w:color="auto" w:fill="FFFFFF"/>
          </w:tcPr>
          <w:p>
            <w:pPr>
              <w:jc w:val="left"/>
            </w:pPr>
            <w:r>
              <w:rPr>
                <w:b w:val="0"/>
                <w:i w:val="0"/>
                <w:color w:val="1E293B"/>
                <w:sz w:val="20"/>
              </w:rPr>
              <w:t>Action: Use FinnUp Status (from Loan Requests sheet) as primary training label</w:t>
            </w:r>
          </w:p>
        </w:tc>
      </w:tr>
      <w:tr>
        <w:tc>
          <w:tcPr>
            <w:tcW w:type="dxa" w:w="4706"/>
            <w:shd w:val="clear" w:color="auto" w:fill="F5F7FA"/>
          </w:tcPr>
          <w:p>
            <w:pPr>
              <w:jc w:val="left"/>
            </w:pPr>
            <w:r>
              <w:rPr>
                <w:b w:val="0"/>
                <w:i w:val="0"/>
                <w:color w:val="1E293B"/>
                <w:sz w:val="20"/>
              </w:rPr>
              <w:t>State / Location: 45% missing</w:t>
            </w:r>
          </w:p>
        </w:tc>
        <w:tc>
          <w:tcPr>
            <w:tcW w:type="dxa" w:w="4706"/>
            <w:shd w:val="clear" w:color="auto" w:fill="F5F7FA"/>
          </w:tcPr>
          <w:p>
            <w:pPr>
              <w:jc w:val="left"/>
            </w:pPr>
            <w:r>
              <w:rPr>
                <w:b w:val="0"/>
                <w:i w:val="0"/>
                <w:color w:val="1E293B"/>
                <w:sz w:val="20"/>
              </w:rPr>
              <w:t>Action: Impute from pin code or city if available; use 'state_unknown' as a category</w:t>
            </w:r>
          </w:p>
        </w:tc>
      </w:tr>
      <w:tr>
        <w:tc>
          <w:tcPr>
            <w:tcW w:type="dxa" w:w="4706"/>
            <w:shd w:val="clear" w:color="auto" w:fill="FFFFFF"/>
          </w:tcPr>
          <w:p>
            <w:pPr>
              <w:jc w:val="left"/>
            </w:pPr>
            <w:r>
              <w:rPr>
                <w:b w:val="0"/>
                <w:i w:val="0"/>
                <w:color w:val="1E293B"/>
                <w:sz w:val="20"/>
              </w:rPr>
              <w:t>Business Age: 51% missing</w:t>
            </w:r>
          </w:p>
        </w:tc>
        <w:tc>
          <w:tcPr>
            <w:tcW w:type="dxa" w:w="4706"/>
            <w:shd w:val="clear" w:color="auto" w:fill="FFFFFF"/>
          </w:tcPr>
          <w:p>
            <w:pPr>
              <w:jc w:val="left"/>
            </w:pPr>
            <w:r>
              <w:rPr>
                <w:b w:val="0"/>
                <w:i w:val="0"/>
                <w:color w:val="1E293B"/>
                <w:sz w:val="20"/>
              </w:rPr>
              <w:t>Action: Impute using registration date if available; else use median within company type group</w:t>
            </w:r>
          </w:p>
        </w:tc>
      </w:tr>
      <w:tr>
        <w:tc>
          <w:tcPr>
            <w:tcW w:type="dxa" w:w="4706"/>
            <w:shd w:val="clear" w:color="auto" w:fill="F5F7FA"/>
          </w:tcPr>
          <w:p>
            <w:pPr>
              <w:jc w:val="left"/>
            </w:pPr>
            <w:r>
              <w:rPr>
                <w:b w:val="0"/>
                <w:i w:val="0"/>
                <w:color w:val="1E293B"/>
                <w:sz w:val="20"/>
              </w:rPr>
              <w:t>Director Ownership %: Partially missing</w:t>
            </w:r>
          </w:p>
        </w:tc>
        <w:tc>
          <w:tcPr>
            <w:tcW w:type="dxa" w:w="4706"/>
            <w:shd w:val="clear" w:color="auto" w:fill="F5F7FA"/>
          </w:tcPr>
          <w:p>
            <w:pPr>
              <w:jc w:val="left"/>
            </w:pPr>
            <w:r>
              <w:rPr>
                <w:b w:val="0"/>
                <w:i w:val="0"/>
                <w:color w:val="1E293B"/>
                <w:sz w:val="20"/>
              </w:rPr>
              <w:t>Action: Impute with 100% for sole proprietors; use 0 for missing with missingness flag</w:t>
            </w:r>
          </w:p>
        </w:tc>
      </w:tr>
    </w:tbl>
    <w:p>
      <w:pPr>
        <w:spacing w:before="0" w:after="80"/>
        <w:jc w:val="left"/>
      </w:pPr>
    </w:p>
    <w:p>
      <w:pPr>
        <w:pStyle w:val="Heading2"/>
        <w:spacing w:before="240" w:after="80"/>
      </w:pPr>
      <w:r>
        <w:rPr>
          <w:rFonts w:ascii="Calibri" w:hAnsi="Calibri"/>
          <w:color w:val="1B3A6B"/>
        </w:rPr>
        <w:t>2.2  The Small Dataset Problem — 6,483 Records Is Manageable But Needs Strategy</w:t>
      </w:r>
    </w:p>
    <w:p>
      <w:pPr>
        <w:spacing w:before="0" w:after="120"/>
        <w:jc w:val="left"/>
      </w:pPr>
      <w:r>
        <w:rPr>
          <w:rFonts w:ascii="Calibri" w:hAnsi="Calibri"/>
          <w:b w:val="0"/>
          <w:i w:val="0"/>
          <w:sz w:val="21"/>
        </w:rPr>
        <w:t>6,483 borrowers is a relatively small dataset for training a robust ML model. However, this is not unusual in MSME lending, and there are well-established strategies to address it.</w:t>
      </w:r>
    </w:p>
    <w:p>
      <w:pPr>
        <w:spacing w:before="0" w:after="40"/>
        <w:jc w:val="left"/>
      </w:pPr>
      <w:r>
        <w:rPr>
          <w:rFonts w:ascii="Calibri" w:hAnsi="Calibri"/>
          <w:b/>
          <w:i w:val="0"/>
          <w:color w:val="EF4444"/>
          <w:sz w:val="21"/>
        </w:rPr>
        <w:t>Why 6,483 records is a concern:</w:t>
      </w:r>
    </w:p>
    <w:p>
      <w:pPr>
        <w:pStyle w:val="ListBullet"/>
        <w:spacing w:after="40"/>
        <w:ind w:left="432"/>
      </w:pPr>
      <w:r>
        <w:rPr>
          <w:rFonts w:ascii="Calibri" w:hAnsi="Calibri"/>
          <w:b/>
          <w:color w:val="F59E0B"/>
          <w:sz w:val="21"/>
        </w:rPr>
        <w:t xml:space="preserve">⚠ </w:t>
      </w:r>
      <w:r>
        <w:rPr>
          <w:rFonts w:ascii="Calibri" w:hAnsi="Calibri"/>
          <w:sz w:val="21"/>
        </w:rPr>
        <w:t>Classification models (XGBoost) can overfit with fewer than 5,000 records if features are many</w:t>
      </w:r>
    </w:p>
    <w:p>
      <w:pPr>
        <w:pStyle w:val="ListBullet"/>
        <w:spacing w:after="40"/>
        <w:ind w:left="432"/>
      </w:pPr>
      <w:r>
        <w:rPr>
          <w:rFonts w:ascii="Calibri" w:hAnsi="Calibri"/>
          <w:b/>
          <w:color w:val="F59E0B"/>
          <w:sz w:val="21"/>
        </w:rPr>
        <w:t xml:space="preserve">⚠ </w:t>
      </w:r>
      <w:r>
        <w:rPr>
          <w:rFonts w:ascii="Calibri" w:hAnsi="Calibri"/>
          <w:sz w:val="21"/>
        </w:rPr>
        <w:t>Class imbalance is likely: very few 'approved' vs 'applied' records — need SMOTE or class weighting</w:t>
      </w:r>
    </w:p>
    <w:p>
      <w:pPr>
        <w:pStyle w:val="ListBullet"/>
        <w:spacing w:after="40"/>
        <w:ind w:left="432"/>
      </w:pPr>
      <w:r>
        <w:rPr>
          <w:rFonts w:ascii="Calibri" w:hAnsi="Calibri"/>
          <w:b/>
          <w:color w:val="F59E0B"/>
          <w:sz w:val="21"/>
        </w:rPr>
        <w:t xml:space="preserve">⚠ </w:t>
      </w:r>
      <w:r>
        <w:rPr>
          <w:rFonts w:ascii="Calibri" w:hAnsi="Calibri"/>
          <w:sz w:val="21"/>
        </w:rPr>
        <w:t>Held-out test set will be small (~1,300 records), making AUC confidence intervals wide</w:t>
      </w:r>
    </w:p>
    <w:p>
      <w:pPr>
        <w:pStyle w:val="ListBullet"/>
        <w:spacing w:after="40"/>
        <w:ind w:left="432"/>
      </w:pPr>
      <w:r>
        <w:rPr>
          <w:rFonts w:ascii="Calibri" w:hAnsi="Calibri"/>
          <w:b/>
          <w:color w:val="F59E0B"/>
          <w:sz w:val="21"/>
        </w:rPr>
        <w:t xml:space="preserve">⚠ </w:t>
      </w:r>
      <w:r>
        <w:rPr>
          <w:rFonts w:ascii="Calibri" w:hAnsi="Calibri"/>
          <w:sz w:val="21"/>
        </w:rPr>
        <w:t>Lender-specific models (per lender) would have even fewer training examples</w:t>
      </w:r>
    </w:p>
    <w:p>
      <w:pPr>
        <w:spacing w:before="0" w:after="80"/>
        <w:jc w:val="left"/>
      </w:pPr>
    </w:p>
    <w:p>
      <w:pPr>
        <w:spacing w:before="0" w:after="40"/>
        <w:jc w:val="left"/>
      </w:pPr>
      <w:r>
        <w:rPr>
          <w:rFonts w:ascii="Calibri" w:hAnsi="Calibri"/>
          <w:b/>
          <w:i w:val="0"/>
          <w:color w:val="0D9488"/>
          <w:sz w:val="21"/>
        </w:rPr>
        <w:t>Strategies to address the small dataset:</w:t>
      </w:r>
    </w:p>
    <w:tbl>
      <w:tblPr>
        <w:tblStyle w:val="TableGrid"/>
        <w:tblW w:type="auto" w:w="0"/>
        <w:tblLook w:firstColumn="1" w:firstRow="1" w:lastColumn="0" w:lastRow="0" w:noHBand="0" w:noVBand="1" w:val="04A0"/>
      </w:tblPr>
      <w:tblGrid>
        <w:gridCol w:w="4706"/>
        <w:gridCol w:w="4706"/>
      </w:tblGrid>
      <w:tr>
        <w:tc>
          <w:tcPr>
            <w:tcW w:type="dxa" w:w="4706"/>
            <w:shd w:val="clear" w:color="auto" w:fill="0D9488"/>
          </w:tcPr>
          <w:p>
            <w:pPr>
              <w:jc w:val="left"/>
            </w:pPr>
            <w:r>
              <w:rPr>
                <w:b/>
                <w:i w:val="0"/>
                <w:color w:val="FFFFFF"/>
                <w:sz w:val="21"/>
              </w:rPr>
              <w:t>Strategy</w:t>
            </w:r>
          </w:p>
        </w:tc>
        <w:tc>
          <w:tcPr>
            <w:tcW w:type="dxa" w:w="4706"/>
            <w:shd w:val="clear" w:color="auto" w:fill="0D9488"/>
          </w:tcPr>
          <w:p>
            <w:pPr>
              <w:jc w:val="left"/>
            </w:pPr>
            <w:r>
              <w:rPr>
                <w:b/>
                <w:i w:val="0"/>
                <w:color w:val="FFFFFF"/>
                <w:sz w:val="21"/>
              </w:rPr>
              <w:t>Implementation Detail</w:t>
            </w:r>
          </w:p>
        </w:tc>
      </w:tr>
      <w:tr>
        <w:tc>
          <w:tcPr>
            <w:tcW w:type="dxa" w:w="4706"/>
            <w:shd w:val="clear" w:color="auto" w:fill="F5F7FA"/>
          </w:tcPr>
          <w:p>
            <w:pPr>
              <w:jc w:val="left"/>
            </w:pPr>
            <w:r>
              <w:rPr>
                <w:b/>
                <w:i w:val="0"/>
                <w:color w:val="1B3A6B"/>
                <w:sz w:val="20"/>
              </w:rPr>
              <w:t>Expand FinnUp's data coverage</w:t>
            </w:r>
          </w:p>
        </w:tc>
        <w:tc>
          <w:tcPr>
            <w:tcW w:type="dxa" w:w="4706"/>
            <w:shd w:val="clear" w:color="auto" w:fill="F5F7FA"/>
          </w:tcPr>
          <w:p>
            <w:pPr>
              <w:jc w:val="left"/>
            </w:pPr>
            <w:r>
              <w:rPr>
                <w:b w:val="0"/>
                <w:i w:val="0"/>
                <w:color w:val="1E293B"/>
                <w:sz w:val="20"/>
              </w:rPr>
              <w:t>Request additional borrower records from FinnUp — any new registrations since the extract date should be included. Target: 10,000+ records for reliable model training.</w:t>
            </w:r>
          </w:p>
        </w:tc>
      </w:tr>
      <w:tr>
        <w:tc>
          <w:tcPr>
            <w:tcW w:type="dxa" w:w="4706"/>
            <w:shd w:val="clear" w:color="auto" w:fill="FFFFFF"/>
          </w:tcPr>
          <w:p>
            <w:pPr>
              <w:jc w:val="left"/>
            </w:pPr>
            <w:r>
              <w:rPr>
                <w:b/>
                <w:i w:val="0"/>
                <w:color w:val="1B3A6B"/>
                <w:sz w:val="20"/>
              </w:rPr>
              <w:t>Use the full multi-year transaction history</w:t>
            </w:r>
          </w:p>
        </w:tc>
        <w:tc>
          <w:tcPr>
            <w:tcW w:type="dxa" w:w="4706"/>
            <w:shd w:val="clear" w:color="auto" w:fill="FFFFFF"/>
          </w:tcPr>
          <w:p>
            <w:pPr>
              <w:jc w:val="left"/>
            </w:pPr>
            <w:r>
              <w:rPr>
                <w:b w:val="0"/>
                <w:i w:val="0"/>
                <w:color w:val="1E293B"/>
                <w:sz w:val="20"/>
              </w:rPr>
              <w:t>Each borrower may have multiple loan applications across years. Treat each application as an independent training row — this can multiply usable rows to 15,000–20,000 records.</w:t>
            </w:r>
          </w:p>
        </w:tc>
      </w:tr>
      <w:tr>
        <w:tc>
          <w:tcPr>
            <w:tcW w:type="dxa" w:w="4706"/>
            <w:shd w:val="clear" w:color="auto" w:fill="F5F7FA"/>
          </w:tcPr>
          <w:p>
            <w:pPr>
              <w:jc w:val="left"/>
            </w:pPr>
            <w:r>
              <w:rPr>
                <w:b/>
                <w:i w:val="0"/>
                <w:color w:val="1B3A6B"/>
                <w:sz w:val="20"/>
              </w:rPr>
              <w:t>Include rejection data from lender partners</w:t>
            </w:r>
          </w:p>
        </w:tc>
        <w:tc>
          <w:tcPr>
            <w:tcW w:type="dxa" w:w="4706"/>
            <w:shd w:val="clear" w:color="auto" w:fill="F5F7FA"/>
          </w:tcPr>
          <w:p>
            <w:pPr>
              <w:jc w:val="left"/>
            </w:pPr>
            <w:r>
              <w:rPr>
                <w:b w:val="0"/>
                <w:i w:val="0"/>
                <w:color w:val="1E293B"/>
                <w:sz w:val="20"/>
              </w:rPr>
              <w:t>Request approval/rejection logs from lender partners — even anonymised outcomes add critical labelled rows.</w:t>
            </w:r>
          </w:p>
        </w:tc>
      </w:tr>
      <w:tr>
        <w:tc>
          <w:tcPr>
            <w:tcW w:type="dxa" w:w="4706"/>
            <w:shd w:val="clear" w:color="auto" w:fill="FFFFFF"/>
          </w:tcPr>
          <w:p>
            <w:pPr>
              <w:jc w:val="left"/>
            </w:pPr>
            <w:r>
              <w:rPr>
                <w:b/>
                <w:i w:val="0"/>
                <w:color w:val="1B3A6B"/>
                <w:sz w:val="20"/>
              </w:rPr>
              <w:t>Transfer learning from similar MSME datasets</w:t>
            </w:r>
          </w:p>
        </w:tc>
        <w:tc>
          <w:tcPr>
            <w:tcW w:type="dxa" w:w="4706"/>
            <w:shd w:val="clear" w:color="auto" w:fill="FFFFFF"/>
          </w:tcPr>
          <w:p>
            <w:pPr>
              <w:jc w:val="left"/>
            </w:pPr>
            <w:r>
              <w:rPr>
                <w:b w:val="0"/>
                <w:i w:val="0"/>
                <w:color w:val="1E293B"/>
                <w:sz w:val="20"/>
              </w:rPr>
              <w:t>Fine-tune a model pre-trained on public MSME credit datasets (e.g., SIDBI, RBI data), then fine-tune on FinnUp data.</w:t>
            </w:r>
          </w:p>
        </w:tc>
      </w:tr>
      <w:tr>
        <w:tc>
          <w:tcPr>
            <w:tcW w:type="dxa" w:w="4706"/>
            <w:shd w:val="clear" w:color="auto" w:fill="F5F7FA"/>
          </w:tcPr>
          <w:p>
            <w:pPr>
              <w:jc w:val="left"/>
            </w:pPr>
            <w:r>
              <w:rPr>
                <w:b/>
                <w:i w:val="0"/>
                <w:color w:val="1B3A6B"/>
                <w:sz w:val="20"/>
              </w:rPr>
              <w:t>Synthetic data generation (SMOTE / CTGAN)</w:t>
            </w:r>
          </w:p>
        </w:tc>
        <w:tc>
          <w:tcPr>
            <w:tcW w:type="dxa" w:w="4706"/>
            <w:shd w:val="clear" w:color="auto" w:fill="F5F7FA"/>
          </w:tcPr>
          <w:p>
            <w:pPr>
              <w:jc w:val="left"/>
            </w:pPr>
            <w:r>
              <w:rPr>
                <w:b w:val="0"/>
                <w:i w:val="0"/>
                <w:color w:val="1E293B"/>
                <w:sz w:val="20"/>
              </w:rPr>
              <w:t>For the minority class (approved loans), use SMOTE to generate synthetic approved-borrower samples during training. Use with caution — validate on real data only.</w:t>
            </w:r>
          </w:p>
        </w:tc>
      </w:tr>
      <w:tr>
        <w:tc>
          <w:tcPr>
            <w:tcW w:type="dxa" w:w="4706"/>
            <w:shd w:val="clear" w:color="auto" w:fill="FFFFFF"/>
          </w:tcPr>
          <w:p>
            <w:pPr>
              <w:jc w:val="left"/>
            </w:pPr>
            <w:r>
              <w:rPr>
                <w:b/>
                <w:i w:val="0"/>
                <w:color w:val="1B3A6B"/>
                <w:sz w:val="20"/>
              </w:rPr>
              <w:t>Feature-rich shallow models work well on small data</w:t>
            </w:r>
          </w:p>
        </w:tc>
        <w:tc>
          <w:tcPr>
            <w:tcW w:type="dxa" w:w="4706"/>
            <w:shd w:val="clear" w:color="auto" w:fill="FFFFFF"/>
          </w:tcPr>
          <w:p>
            <w:pPr>
              <w:jc w:val="left"/>
            </w:pPr>
            <w:r>
              <w:rPr>
                <w:b w:val="0"/>
                <w:i w:val="0"/>
                <w:color w:val="1E293B"/>
                <w:sz w:val="20"/>
              </w:rPr>
              <w:t>XGBoost with L1/L2 regularisation and careful feature selection performs reliably on 5,000–10,000 records. Avoid deep learning — it requires 100,000+ records.</w:t>
            </w:r>
          </w:p>
        </w:tc>
      </w:tr>
      <w:tr>
        <w:tc>
          <w:tcPr>
            <w:tcW w:type="dxa" w:w="4706"/>
            <w:shd w:val="clear" w:color="auto" w:fill="F5F7FA"/>
          </w:tcPr>
          <w:p>
            <w:pPr>
              <w:jc w:val="left"/>
            </w:pPr>
            <w:r>
              <w:rPr>
                <w:b/>
                <w:i w:val="0"/>
                <w:color w:val="1B3A6B"/>
                <w:sz w:val="20"/>
              </w:rPr>
              <w:t>K-fold cross-validation</w:t>
            </w:r>
          </w:p>
        </w:tc>
        <w:tc>
          <w:tcPr>
            <w:tcW w:type="dxa" w:w="4706"/>
            <w:shd w:val="clear" w:color="auto" w:fill="F5F7FA"/>
          </w:tcPr>
          <w:p>
            <w:pPr>
              <w:jc w:val="left"/>
            </w:pPr>
            <w:r>
              <w:rPr>
                <w:b w:val="0"/>
                <w:i w:val="0"/>
                <w:color w:val="1E293B"/>
                <w:sz w:val="20"/>
              </w:rPr>
              <w:t>Use 5-fold stratified cross-validation instead of a single train-test split to maximise learning from all available records.</w:t>
            </w:r>
          </w:p>
        </w:tc>
      </w:tr>
      <w:tr>
        <w:tc>
          <w:tcPr>
            <w:tcW w:type="dxa" w:w="4706"/>
            <w:shd w:val="clear" w:color="auto" w:fill="FFFFFF"/>
          </w:tcPr>
          <w:p>
            <w:pPr>
              <w:jc w:val="left"/>
            </w:pPr>
            <w:r>
              <w:rPr>
                <w:b/>
                <w:i w:val="0"/>
                <w:color w:val="1B3A6B"/>
                <w:sz w:val="20"/>
              </w:rPr>
              <w:t>Lender-agnostic model initially</w:t>
            </w:r>
          </w:p>
        </w:tc>
        <w:tc>
          <w:tcPr>
            <w:tcW w:type="dxa" w:w="4706"/>
            <w:shd w:val="clear" w:color="auto" w:fill="FFFFFF"/>
          </w:tcPr>
          <w:p>
            <w:pPr>
              <w:jc w:val="left"/>
            </w:pPr>
            <w:r>
              <w:rPr>
                <w:b w:val="0"/>
                <w:i w:val="0"/>
                <w:color w:val="1E293B"/>
                <w:sz w:val="20"/>
              </w:rPr>
              <w:t>Train one global model (not per lender) to maximise training data. Apply lender policy rules as a post-scoring filter layer.</w:t>
            </w:r>
          </w:p>
        </w:tc>
      </w:tr>
    </w:tbl>
    <w:p>
      <w:pPr>
        <w:spacing w:before="0" w:after="80"/>
        <w:jc w:val="left"/>
      </w:pPr>
    </w:p>
    <w:p>
      <w:pPr>
        <w:spacing w:before="40" w:after="40"/>
        <w:pBdr>
          <w:bottom w:val="single" w:sz="6" w:space="1" w:color="0D9488"/>
        </w:pBdr>
      </w:pPr>
    </w:p>
    <w:p>
      <w:r>
        <w:br w:type="page"/>
      </w:r>
    </w:p>
    <w:tbl>
      <w:tblPr>
        <w:tblW w:type="auto" w:w="0"/>
        <w:jc w:val="left"/>
        <w:tblLook w:firstColumn="1" w:firstRow="1" w:lastColumn="0" w:lastRow="0" w:noHBand="0" w:noVBand="1" w:val="04A0"/>
      </w:tblPr>
      <w:tblGrid>
        <w:gridCol w:w="9412"/>
      </w:tblGrid>
      <w:tr>
        <w:tc>
          <w:tcPr>
            <w:tcW w:type="dxa" w:w="9072"/>
            <w:shd w:val="clear" w:color="auto" w:fill="7C3AED"/>
          </w:tcPr>
          <w:p>
            <w:pPr>
              <w:spacing w:before="80" w:after="80"/>
              <w:jc w:val="left"/>
            </w:pPr>
            <w:r>
              <w:rPr>
                <w:b/>
                <w:i w:val="0"/>
                <w:color w:val="FFFFFF"/>
                <w:sz w:val="26"/>
              </w:rPr>
              <w:t>SECTION 3 — POST-EDA NEXT STEPS (DETAILED ACTION PLAN)</w:t>
            </w:r>
          </w:p>
        </w:tc>
      </w:tr>
    </w:tbl>
    <w:p/>
    <w:p>
      <w:pPr>
        <w:pStyle w:val="Heading2"/>
        <w:spacing w:before="240" w:after="80"/>
      </w:pPr>
      <w:r>
        <w:rPr>
          <w:rFonts w:ascii="Calibri" w:hAnsi="Calibri"/>
          <w:color w:val="1B3A6B"/>
        </w:rPr>
        <w:t>3.1  Immediate Actions (Week 1 — This Week)</w:t>
      </w:r>
    </w:p>
    <w:p>
      <w:pPr>
        <w:spacing w:before="0" w:after="80"/>
        <w:jc w:val="left"/>
      </w:pPr>
      <w:r>
        <w:rPr>
          <w:rFonts w:ascii="Calibri" w:hAnsi="Calibri"/>
          <w:b/>
          <w:i w:val="0"/>
          <w:color w:val="EF4444"/>
          <w:sz w:val="21"/>
        </w:rPr>
        <w:t>These must be done before any modelling can proceed:</w:t>
      </w:r>
    </w:p>
    <w:p>
      <w:pPr>
        <w:pStyle w:val="ListBullet"/>
        <w:spacing w:after="40"/>
      </w:pPr>
      <w:r>
        <w:rPr>
          <w:rFonts w:ascii="Calibri" w:hAnsi="Calibri"/>
          <w:b/>
          <w:color w:val="EF4444"/>
          <w:sz w:val="21"/>
        </w:rPr>
        <w:t xml:space="preserve">[CRITICAL]  BLOCKER — Get outcome labels from FinnUp: </w:t>
      </w:r>
      <w:r>
        <w:rPr>
          <w:rFonts w:ascii="Calibri" w:hAnsi="Calibri"/>
          <w:sz w:val="21"/>
        </w:rPr>
        <w:t>Request the CRM/LOS export of formal approved/rejected/disbursed status per borrower–loan pair. Without this, supervised model training cannot begin. Even 1,000 labelled records are enough to start. FinnUp Status (YES/NO) in the Loan Requests sheet will be used as proxy in the meantime.</w:t>
      </w:r>
    </w:p>
    <w:p>
      <w:pPr>
        <w:pStyle w:val="ListBullet"/>
        <w:spacing w:after="40"/>
      </w:pPr>
      <w:r>
        <w:rPr>
          <w:rFonts w:ascii="Calibri" w:hAnsi="Calibri"/>
          <w:b/>
          <w:color w:val="EF4444"/>
          <w:sz w:val="21"/>
        </w:rPr>
        <w:t xml:space="preserve">[CRITICAL]  BLOCKER — Confirm lender policy files are complete: </w:t>
      </w:r>
      <w:r>
        <w:rPr>
          <w:rFonts w:ascii="Calibri" w:hAnsi="Calibri"/>
          <w:sz w:val="21"/>
        </w:rPr>
        <w:t>Verify that the policy JSON/Excel files in /data/lender_policies/ are current and cover all active lenders. Each lender's minimum CIBIL, turnover threshold, sector restrictions, and ticket size range is needed.</w:t>
      </w:r>
    </w:p>
    <w:p>
      <w:pPr>
        <w:pStyle w:val="ListBullet"/>
        <w:spacing w:after="40"/>
      </w:pPr>
      <w:r>
        <w:rPr>
          <w:rFonts w:ascii="Calibri" w:hAnsi="Calibri"/>
          <w:b/>
          <w:color w:val="EF4444"/>
          <w:sz w:val="21"/>
        </w:rPr>
        <w:t xml:space="preserve">[CRITICAL]  Get more borrower records if available: </w:t>
      </w:r>
      <w:r>
        <w:rPr>
          <w:rFonts w:ascii="Calibri" w:hAnsi="Calibri"/>
          <w:sz w:val="21"/>
        </w:rPr>
        <w:t>Request any new borrower registrations since the original export. Also request historical data going back 3+ years if available — more rows = more training data.</w:t>
      </w:r>
    </w:p>
    <w:p>
      <w:pPr>
        <w:pStyle w:val="ListBullet"/>
        <w:spacing w:after="40"/>
      </w:pPr>
      <w:r>
        <w:rPr>
          <w:rFonts w:ascii="Calibri" w:hAnsi="Calibri"/>
          <w:b/>
          <w:color w:val="EF4444"/>
          <w:sz w:val="21"/>
        </w:rPr>
        <w:t xml:space="preserve">[CRITICAL]  Clarify bank statement coverage: </w:t>
      </w:r>
      <w:r>
        <w:rPr>
          <w:rFonts w:ascii="Calibri" w:hAnsi="Calibri"/>
          <w:sz w:val="21"/>
        </w:rPr>
        <w:t>Confirm whether Account Aggregator (AA) consent data is available for the remaining 62% of borrowers who do not have bank statement data. If yes, add to pipeline.</w:t>
      </w:r>
    </w:p>
    <w:p>
      <w:pPr>
        <w:spacing w:before="0" w:after="80"/>
        <w:jc w:val="left"/>
      </w:pPr>
    </w:p>
    <w:p>
      <w:pPr>
        <w:pStyle w:val="Heading2"/>
        <w:spacing w:before="240" w:after="80"/>
      </w:pPr>
      <w:r>
        <w:rPr>
          <w:rFonts w:ascii="Calibri" w:hAnsi="Calibri"/>
          <w:color w:val="1B3A6B"/>
        </w:rPr>
        <w:t>3.2  Feature Engineering Plan (Weeks 1–2)</w:t>
      </w:r>
    </w:p>
    <w:p>
      <w:pPr>
        <w:spacing w:before="0" w:after="80"/>
        <w:jc w:val="left"/>
      </w:pPr>
      <w:r>
        <w:rPr>
          <w:rFonts w:ascii="Calibri" w:hAnsi="Calibri"/>
          <w:b w:val="0"/>
          <w:i w:val="0"/>
          <w:sz w:val="21"/>
        </w:rPr>
        <w:t>Transform raw data from all 11 sheets into 50+ model-ready features:</w:t>
      </w:r>
    </w:p>
    <w:p>
      <w:pPr>
        <w:pStyle w:val="Heading3"/>
        <w:spacing w:before="120" w:after="40"/>
      </w:pPr>
      <w:r>
        <w:rPr>
          <w:rFonts w:ascii="Calibri" w:hAnsi="Calibri"/>
          <w:color w:val="0D9488"/>
        </w:rPr>
        <w:t>A. Profile Features (from Borrower Profile sheet)</w:t>
      </w:r>
    </w:p>
    <w:p>
      <w:pPr>
        <w:pStyle w:val="ListBullet"/>
        <w:spacing w:after="40"/>
        <w:ind w:left="792"/>
      </w:pPr>
      <w:r>
        <w:rPr>
          <w:rFonts w:ascii="Calibri" w:hAnsi="Calibri"/>
          <w:sz w:val="21"/>
        </w:rPr>
        <w:t>log(Turnover) — log-transform to handle right skew; treat 0 separately</w:t>
      </w:r>
    </w:p>
    <w:p>
      <w:pPr>
        <w:pStyle w:val="ListBullet"/>
        <w:spacing w:after="40"/>
        <w:ind w:left="792"/>
      </w:pPr>
      <w:r>
        <w:rPr>
          <w:rFonts w:ascii="Calibri" w:hAnsi="Calibri"/>
          <w:sz w:val="21"/>
        </w:rPr>
        <w:t>log(Networth) — same transformation; flag negatives separately as 'negative_networth'</w:t>
      </w:r>
    </w:p>
    <w:p>
      <w:pPr>
        <w:pStyle w:val="ListBullet"/>
        <w:spacing w:after="40"/>
        <w:ind w:left="792"/>
      </w:pPr>
      <w:r>
        <w:rPr>
          <w:rFonts w:ascii="Calibri" w:hAnsi="Calibri"/>
          <w:sz w:val="21"/>
        </w:rPr>
        <w:t>Business Age (years) — bin into: &lt;2yr, 2–5yr, 5–10yr, 10yr+; impute missing with group median</w:t>
      </w:r>
    </w:p>
    <w:p>
      <w:pPr>
        <w:pStyle w:val="ListBullet"/>
        <w:spacing w:after="40"/>
        <w:ind w:left="792"/>
      </w:pPr>
      <w:r>
        <w:rPr>
          <w:rFonts w:ascii="Calibri" w:hAnsi="Calibri"/>
          <w:sz w:val="21"/>
        </w:rPr>
        <w:t>Company Type — one-hot encode (Proprietorship, Partnership, Pvt Ltd, LLP, Public Ltd, Other)</w:t>
      </w:r>
    </w:p>
    <w:p>
      <w:pPr>
        <w:pStyle w:val="ListBullet"/>
        <w:spacing w:after="40"/>
        <w:ind w:left="792"/>
      </w:pPr>
      <w:r>
        <w:rPr>
          <w:rFonts w:ascii="Calibri" w:hAnsi="Calibri"/>
          <w:sz w:val="21"/>
        </w:rPr>
        <w:t>Industry / Sector — group into 6 macro-sectors; label encode</w:t>
      </w:r>
    </w:p>
    <w:p>
      <w:pPr>
        <w:pStyle w:val="ListBullet"/>
        <w:spacing w:after="40"/>
        <w:ind w:left="792"/>
      </w:pPr>
      <w:r>
        <w:rPr>
          <w:rFonts w:ascii="Calibri" w:hAnsi="Calibri"/>
          <w:sz w:val="21"/>
        </w:rPr>
        <w:t>State — encode top-20 states; group rare states as 'Other'</w:t>
      </w:r>
    </w:p>
    <w:p>
      <w:pPr>
        <w:pStyle w:val="ListBullet"/>
        <w:spacing w:after="40"/>
        <w:ind w:left="792"/>
      </w:pPr>
      <w:r>
        <w:rPr>
          <w:rFonts w:ascii="Calibri" w:hAnsi="Calibri"/>
          <w:sz w:val="21"/>
        </w:rPr>
        <w:t>Documents completeness score — count key documents present / total expected</w:t>
      </w:r>
    </w:p>
    <w:p>
      <w:pPr>
        <w:pStyle w:val="ListBullet"/>
        <w:spacing w:after="40"/>
        <w:ind w:left="792"/>
      </w:pPr>
      <w:r>
        <w:rPr>
          <w:rFonts w:ascii="Calibri" w:hAnsi="Calibri"/>
          <w:sz w:val="21"/>
        </w:rPr>
        <w:t>Application-to-first-response gap (days) — if date fields available</w:t>
      </w:r>
    </w:p>
    <w:p>
      <w:pPr>
        <w:pStyle w:val="Heading3"/>
        <w:spacing w:before="120" w:after="40"/>
      </w:pPr>
      <w:r>
        <w:rPr>
          <w:rFonts w:ascii="Calibri" w:hAnsi="Calibri"/>
          <w:color w:val="0D9488"/>
        </w:rPr>
        <w:t>B. Director / Credit Features (from Directors sheet)</w:t>
      </w:r>
    </w:p>
    <w:p>
      <w:pPr>
        <w:pStyle w:val="ListBullet"/>
        <w:spacing w:after="40"/>
        <w:ind w:left="792"/>
      </w:pPr>
      <w:r>
        <w:rPr>
          <w:rFonts w:ascii="Calibri" w:hAnsi="Calibri"/>
          <w:sz w:val="21"/>
        </w:rPr>
        <w:t>min_director_cibil — minimum CIBIL score across all directors (most conservative signal)</w:t>
      </w:r>
    </w:p>
    <w:p>
      <w:pPr>
        <w:pStyle w:val="ListBullet"/>
        <w:spacing w:after="40"/>
        <w:ind w:left="792"/>
      </w:pPr>
      <w:r>
        <w:rPr>
          <w:rFonts w:ascii="Calibri" w:hAnsi="Calibri"/>
          <w:sz w:val="21"/>
        </w:rPr>
        <w:t>max_director_cibil — maximum CIBIL score across all directors</w:t>
      </w:r>
    </w:p>
    <w:p>
      <w:pPr>
        <w:pStyle w:val="ListBullet"/>
        <w:spacing w:after="40"/>
        <w:ind w:left="792"/>
      </w:pPr>
      <w:r>
        <w:rPr>
          <w:rFonts w:ascii="Calibri" w:hAnsi="Calibri"/>
          <w:sz w:val="21"/>
        </w:rPr>
        <w:t>avg_director_cibil — average CIBIL across directors</w:t>
      </w:r>
    </w:p>
    <w:p>
      <w:pPr>
        <w:pStyle w:val="ListBullet"/>
        <w:spacing w:after="40"/>
        <w:ind w:left="792"/>
      </w:pPr>
      <w:r>
        <w:rPr>
          <w:rFonts w:ascii="Calibri" w:hAnsi="Calibri"/>
          <w:sz w:val="21"/>
        </w:rPr>
        <w:t>director_cibil_below_650 — binary flag: any director with CIBIL &lt; 650</w:t>
      </w:r>
    </w:p>
    <w:p>
      <w:pPr>
        <w:pStyle w:val="ListBullet"/>
        <w:spacing w:after="40"/>
        <w:ind w:left="792"/>
      </w:pPr>
      <w:r>
        <w:rPr>
          <w:rFonts w:ascii="Calibri" w:hAnsi="Calibri"/>
          <w:sz w:val="21"/>
        </w:rPr>
        <w:t>num_directors — count of directors (more directors = more complex governance)</w:t>
      </w:r>
    </w:p>
    <w:p>
      <w:pPr>
        <w:pStyle w:val="ListBullet"/>
        <w:spacing w:after="40"/>
        <w:ind w:left="792"/>
      </w:pPr>
      <w:r>
        <w:rPr>
          <w:rFonts w:ascii="Calibri" w:hAnsi="Calibri"/>
          <w:sz w:val="21"/>
        </w:rPr>
        <w:t>max_ownership_pct — highest individual ownership percentage (promoter concentration)</w:t>
      </w:r>
    </w:p>
    <w:p>
      <w:pPr>
        <w:pStyle w:val="ListBullet"/>
        <w:spacing w:after="40"/>
        <w:ind w:left="792"/>
      </w:pPr>
      <w:r>
        <w:rPr>
          <w:rFonts w:ascii="Calibri" w:hAnsi="Calibri"/>
          <w:sz w:val="21"/>
        </w:rPr>
        <w:t>cibil_imputed_flag — binary: 1 if borrower CIBIL was imputed from director proxy</w:t>
      </w:r>
    </w:p>
    <w:p>
      <w:pPr>
        <w:pStyle w:val="ListBullet"/>
        <w:spacing w:after="40"/>
        <w:ind w:left="792"/>
      </w:pPr>
      <w:r>
        <w:rPr>
          <w:rFonts w:ascii="Calibri" w:hAnsi="Calibri"/>
          <w:sz w:val="21"/>
        </w:rPr>
        <w:t>imputed_borrower_cibil — regression imputation using director CIBIL + financial features</w:t>
      </w:r>
    </w:p>
    <w:p>
      <w:pPr>
        <w:pStyle w:val="Heading3"/>
        <w:spacing w:before="120" w:after="40"/>
      </w:pPr>
      <w:r>
        <w:rPr>
          <w:rFonts w:ascii="Calibri" w:hAnsi="Calibri"/>
          <w:color w:val="0D9488"/>
        </w:rPr>
        <w:t>C. Bank Statement Features (from Bank Statements sheet)</w:t>
      </w:r>
    </w:p>
    <w:p>
      <w:pPr>
        <w:pStyle w:val="ListBullet"/>
        <w:spacing w:after="40"/>
        <w:ind w:left="792"/>
      </w:pPr>
      <w:r>
        <w:rPr>
          <w:rFonts w:ascii="Calibri" w:hAnsi="Calibri"/>
          <w:sz w:val="21"/>
        </w:rPr>
        <w:t>bounce_ratio — total cheque bounces / total credits (key risk signal)</w:t>
      </w:r>
    </w:p>
    <w:p>
      <w:pPr>
        <w:pStyle w:val="ListBullet"/>
        <w:spacing w:after="40"/>
        <w:ind w:left="792"/>
      </w:pPr>
      <w:r>
        <w:rPr>
          <w:rFonts w:ascii="Calibri" w:hAnsi="Calibri"/>
          <w:sz w:val="21"/>
        </w:rPr>
        <w:t>bounce_ratio_missing — binary flag: 1 if no bank data available</w:t>
      </w:r>
    </w:p>
    <w:p>
      <w:pPr>
        <w:pStyle w:val="ListBullet"/>
        <w:spacing w:after="40"/>
        <w:ind w:left="792"/>
      </w:pPr>
      <w:r>
        <w:rPr>
          <w:rFonts w:ascii="Calibri" w:hAnsi="Calibri"/>
          <w:sz w:val="21"/>
        </w:rPr>
        <w:t>log_avg_eod_balance — log-transformed average end-of-day balance</w:t>
      </w:r>
    </w:p>
    <w:p>
      <w:pPr>
        <w:pStyle w:val="ListBullet"/>
        <w:spacing w:after="40"/>
        <w:ind w:left="792"/>
      </w:pPr>
      <w:r>
        <w:rPr>
          <w:rFonts w:ascii="Calibri" w:hAnsi="Calibri"/>
          <w:sz w:val="21"/>
        </w:rPr>
        <w:t>credit_debit_ratio — total credits / total debits (&gt;1 = net inflow)</w:t>
      </w:r>
    </w:p>
    <w:p>
      <w:pPr>
        <w:pStyle w:val="ListBullet"/>
        <w:spacing w:after="40"/>
        <w:ind w:left="792"/>
      </w:pPr>
      <w:r>
        <w:rPr>
          <w:rFonts w:ascii="Calibri" w:hAnsi="Calibri"/>
          <w:sz w:val="21"/>
        </w:rPr>
        <w:t>inward_cheque_bounces — count of inward bounces (capped at 30)</w:t>
      </w:r>
    </w:p>
    <w:p>
      <w:pPr>
        <w:pStyle w:val="ListBullet"/>
        <w:spacing w:after="40"/>
        <w:ind w:left="792"/>
      </w:pPr>
      <w:r>
        <w:rPr>
          <w:rFonts w:ascii="Calibri" w:hAnsi="Calibri"/>
          <w:sz w:val="21"/>
        </w:rPr>
        <w:t>outward_cheque_bounces — count of outward bounces (capped at 30)</w:t>
      </w:r>
    </w:p>
    <w:p>
      <w:pPr>
        <w:pStyle w:val="ListBullet"/>
        <w:spacing w:after="40"/>
        <w:ind w:left="792"/>
      </w:pPr>
      <w:r>
        <w:rPr>
          <w:rFonts w:ascii="Calibri" w:hAnsi="Calibri"/>
          <w:sz w:val="21"/>
        </w:rPr>
        <w:t>balance_volatility — std deviation of monthly EOD balance / mean (stability indicator)</w:t>
      </w:r>
    </w:p>
    <w:p>
      <w:pPr>
        <w:pStyle w:val="ListBullet"/>
        <w:spacing w:after="40"/>
        <w:ind w:left="792"/>
      </w:pPr>
      <w:r>
        <w:rPr>
          <w:rFonts w:ascii="Calibri" w:hAnsi="Calibri"/>
          <w:sz w:val="21"/>
        </w:rPr>
        <w:t>bank_vintage_months — number of months of bank history available</w:t>
      </w:r>
    </w:p>
    <w:p>
      <w:pPr>
        <w:pStyle w:val="ListBullet"/>
        <w:spacing w:after="40"/>
        <w:ind w:left="792"/>
      </w:pPr>
      <w:r>
        <w:rPr>
          <w:rFonts w:ascii="Calibri" w:hAnsi="Calibri"/>
          <w:sz w:val="21"/>
        </w:rPr>
        <w:t>has_bank_data — binary flag: 1 if bank statement data exists for borrower</w:t>
      </w:r>
    </w:p>
    <w:p>
      <w:pPr>
        <w:pStyle w:val="Heading3"/>
        <w:spacing w:before="120" w:after="40"/>
      </w:pPr>
      <w:r>
        <w:rPr>
          <w:rFonts w:ascii="Calibri" w:hAnsi="Calibri"/>
          <w:color w:val="0D9488"/>
        </w:rPr>
        <w:t>D. Loan Request Features (from Loan Requests sheet)</w:t>
      </w:r>
    </w:p>
    <w:p>
      <w:pPr>
        <w:pStyle w:val="ListBullet"/>
        <w:spacing w:after="40"/>
        <w:ind w:left="792"/>
      </w:pPr>
      <w:r>
        <w:rPr>
          <w:rFonts w:ascii="Calibri" w:hAnsi="Calibri"/>
          <w:sz w:val="21"/>
        </w:rPr>
        <w:t>loan_amount_requested — amount requested (log-transformed)</w:t>
      </w:r>
    </w:p>
    <w:p>
      <w:pPr>
        <w:pStyle w:val="ListBullet"/>
        <w:spacing w:after="40"/>
        <w:ind w:left="792"/>
      </w:pPr>
      <w:r>
        <w:rPr>
          <w:rFonts w:ascii="Calibri" w:hAnsi="Calibri"/>
          <w:sz w:val="21"/>
        </w:rPr>
        <w:t>num_loan_applications — total number of applications submitted</w:t>
      </w:r>
    </w:p>
    <w:p>
      <w:pPr>
        <w:pStyle w:val="ListBullet"/>
        <w:spacing w:after="40"/>
        <w:ind w:left="792"/>
      </w:pPr>
      <w:r>
        <w:rPr>
          <w:rFonts w:ascii="Calibri" w:hAnsi="Calibri"/>
          <w:sz w:val="21"/>
        </w:rPr>
        <w:t>num_products_tried — distinct loan products applied for</w:t>
      </w:r>
    </w:p>
    <w:p>
      <w:pPr>
        <w:pStyle w:val="ListBullet"/>
        <w:spacing w:after="40"/>
        <w:ind w:left="792"/>
      </w:pPr>
      <w:r>
        <w:rPr>
          <w:rFonts w:ascii="Calibri" w:hAnsi="Calibri"/>
          <w:sz w:val="21"/>
        </w:rPr>
        <w:t>days_since_first_application — borrower tenure on platform</w:t>
      </w:r>
    </w:p>
    <w:p>
      <w:pPr>
        <w:pStyle w:val="ListBullet"/>
        <w:spacing w:after="40"/>
        <w:ind w:left="792"/>
      </w:pPr>
      <w:r>
        <w:rPr>
          <w:rFonts w:ascii="Calibri" w:hAnsi="Calibri"/>
          <w:sz w:val="21"/>
        </w:rPr>
        <w:t>finnup_status_any_yes — binary: 1 if any loan application has FinnUp Status = YES</w:t>
      </w:r>
    </w:p>
    <w:p>
      <w:pPr>
        <w:pStyle w:val="ListBullet"/>
        <w:spacing w:after="40"/>
        <w:ind w:left="792"/>
      </w:pPr>
      <w:r>
        <w:rPr>
          <w:rFonts w:ascii="Calibri" w:hAnsi="Calibri"/>
          <w:sz w:val="21"/>
        </w:rPr>
        <w:t>product_category — macro-category of primary loan product (working capital, term loan, etc.)</w:t>
      </w:r>
    </w:p>
    <w:p>
      <w:pPr>
        <w:pStyle w:val="Heading3"/>
        <w:spacing w:before="120" w:after="40"/>
      </w:pPr>
      <w:r>
        <w:rPr>
          <w:rFonts w:ascii="Calibri" w:hAnsi="Calibri"/>
          <w:color w:val="0D9488"/>
        </w:rPr>
        <w:t>E. Financial KPI Features (from Financial KPIs sheet — 500 borrowers)</w:t>
      </w:r>
    </w:p>
    <w:p>
      <w:pPr>
        <w:pStyle w:val="ListBullet"/>
        <w:spacing w:after="40"/>
        <w:ind w:left="792"/>
      </w:pPr>
      <w:r>
        <w:rPr>
          <w:rFonts w:ascii="Calibri" w:hAnsi="Calibri"/>
          <w:sz w:val="21"/>
        </w:rPr>
        <w:t>dscr_avg — Debt Service Coverage Ratio (higher = better repayment capacity)</w:t>
      </w:r>
    </w:p>
    <w:p>
      <w:pPr>
        <w:pStyle w:val="ListBullet"/>
        <w:spacing w:after="40"/>
        <w:ind w:left="792"/>
      </w:pPr>
      <w:r>
        <w:rPr>
          <w:rFonts w:ascii="Calibri" w:hAnsi="Calibri"/>
          <w:sz w:val="21"/>
        </w:rPr>
        <w:t>current_ratio — current assets / current liabilities (liquidity signal)</w:t>
      </w:r>
    </w:p>
    <w:p>
      <w:pPr>
        <w:pStyle w:val="ListBullet"/>
        <w:spacing w:after="40"/>
        <w:ind w:left="792"/>
      </w:pPr>
      <w:r>
        <w:rPr>
          <w:rFonts w:ascii="Calibri" w:hAnsi="Calibri"/>
          <w:sz w:val="21"/>
        </w:rPr>
        <w:t>debt_equity_ratio — leverage measure</w:t>
      </w:r>
    </w:p>
    <w:p>
      <w:pPr>
        <w:pStyle w:val="ListBullet"/>
        <w:spacing w:after="40"/>
        <w:ind w:left="792"/>
      </w:pPr>
      <w:r>
        <w:rPr>
          <w:rFonts w:ascii="Calibri" w:hAnsi="Calibri"/>
          <w:sz w:val="21"/>
        </w:rPr>
        <w:t>net_profit_margin_pct — profitability indicator</w:t>
      </w:r>
    </w:p>
    <w:p>
      <w:pPr>
        <w:pStyle w:val="ListBullet"/>
        <w:spacing w:after="40"/>
        <w:ind w:left="792"/>
      </w:pPr>
      <w:r>
        <w:rPr>
          <w:rFonts w:ascii="Calibri" w:hAnsi="Calibri"/>
          <w:sz w:val="21"/>
        </w:rPr>
        <w:t>pbdita_margin_pct — EBITDA proxy margin</w:t>
      </w:r>
    </w:p>
    <w:p>
      <w:pPr>
        <w:pStyle w:val="ListBullet"/>
        <w:spacing w:after="40"/>
        <w:ind w:left="792"/>
      </w:pPr>
      <w:r>
        <w:rPr>
          <w:rFonts w:ascii="Calibri" w:hAnsi="Calibri"/>
          <w:sz w:val="21"/>
        </w:rPr>
        <w:t>revenue_yoy_growth — year-on-year revenue growth rate</w:t>
      </w:r>
    </w:p>
    <w:p>
      <w:pPr>
        <w:pStyle w:val="ListBullet"/>
        <w:spacing w:after="40"/>
        <w:ind w:left="792"/>
      </w:pPr>
      <w:r>
        <w:rPr>
          <w:rFonts w:ascii="Calibri" w:hAnsi="Calibri"/>
          <w:sz w:val="21"/>
        </w:rPr>
        <w:t>kpi_data_available — binary flag: 1 if formal financial KPIs exist</w:t>
      </w:r>
    </w:p>
    <w:p>
      <w:pPr>
        <w:pStyle w:val="ListBullet"/>
        <w:spacing w:after="40"/>
        <w:ind w:left="792"/>
      </w:pPr>
      <w:r>
        <w:rPr>
          <w:rFonts w:ascii="Calibri" w:hAnsi="Calibri"/>
          <w:sz w:val="21"/>
        </w:rPr>
        <w:t>All KPI features imputed with sector median for borrowers without financials</w:t>
      </w:r>
    </w:p>
    <w:p>
      <w:pPr>
        <w:pStyle w:val="Heading3"/>
        <w:spacing w:before="120" w:after="40"/>
      </w:pPr>
      <w:r>
        <w:rPr>
          <w:rFonts w:ascii="Calibri" w:hAnsi="Calibri"/>
          <w:color w:val="0D9488"/>
        </w:rPr>
        <w:t>F. Derived / Engineered Features</w:t>
      </w:r>
    </w:p>
    <w:p>
      <w:pPr>
        <w:pStyle w:val="ListBullet"/>
        <w:spacing w:after="40"/>
        <w:ind w:left="792"/>
      </w:pPr>
      <w:r>
        <w:rPr>
          <w:rFonts w:ascii="Calibri" w:hAnsi="Calibri"/>
          <w:sz w:val="21"/>
        </w:rPr>
        <w:t>Borrower-to-director CIBIL gap — abs(borrower_cibil - min_director_cibil)</w:t>
      </w:r>
    </w:p>
    <w:p>
      <w:pPr>
        <w:pStyle w:val="ListBullet"/>
        <w:spacing w:after="40"/>
        <w:ind w:left="792"/>
      </w:pPr>
      <w:r>
        <w:rPr>
          <w:rFonts w:ascii="Calibri" w:hAnsi="Calibri"/>
          <w:sz w:val="21"/>
        </w:rPr>
        <w:t>Size tier — micro / small / medium based on turnover bands</w:t>
      </w:r>
    </w:p>
    <w:p>
      <w:pPr>
        <w:pStyle w:val="ListBullet"/>
        <w:spacing w:after="40"/>
        <w:ind w:left="792"/>
      </w:pPr>
      <w:r>
        <w:rPr>
          <w:rFonts w:ascii="Calibri" w:hAnsi="Calibri"/>
          <w:sz w:val="21"/>
        </w:rPr>
        <w:t>Credit risk score (rule-based) — simple weighted score from CIBIL + bounce + CDR</w:t>
      </w:r>
    </w:p>
    <w:p>
      <w:pPr>
        <w:pStyle w:val="ListBullet"/>
        <w:spacing w:after="40"/>
        <w:ind w:left="792"/>
      </w:pPr>
      <w:r>
        <w:rPr>
          <w:rFonts w:ascii="Calibri" w:hAnsi="Calibri"/>
          <w:sz w:val="21"/>
        </w:rPr>
        <w:t>Data quality score — fraction of key fields that are non-null for that borrower</w:t>
      </w:r>
    </w:p>
    <w:p>
      <w:pPr>
        <w:pStyle w:val="ListBullet"/>
        <w:spacing w:after="40"/>
        <w:ind w:left="792"/>
      </w:pPr>
      <w:r>
        <w:rPr>
          <w:rFonts w:ascii="Calibri" w:hAnsi="Calibri"/>
          <w:sz w:val="21"/>
        </w:rPr>
        <w:t>Lender eligibility count — number of lenders whose hard rules this borrower passes</w:t>
      </w:r>
    </w:p>
    <w:p>
      <w:pPr>
        <w:spacing w:before="0" w:after="80"/>
        <w:jc w:val="left"/>
      </w:pPr>
    </w:p>
    <w:p>
      <w:pPr>
        <w:spacing w:before="40" w:after="40"/>
        <w:pBdr>
          <w:bottom w:val="single" w:sz="6" w:space="1" w:color="0D9488"/>
        </w:pBdr>
      </w:pPr>
    </w:p>
    <w:p>
      <w:r>
        <w:br w:type="page"/>
      </w:r>
    </w:p>
    <w:p>
      <w:pPr>
        <w:pStyle w:val="Heading2"/>
        <w:spacing w:before="240" w:after="80"/>
      </w:pPr>
      <w:r>
        <w:rPr>
          <w:rFonts w:ascii="Calibri" w:hAnsi="Calibri"/>
          <w:color w:val="1B3A6B"/>
        </w:rPr>
        <w:t>3.3  Missing Value Treatment Plan</w:t>
      </w:r>
    </w:p>
    <w:p>
      <w:pPr>
        <w:spacing w:before="0" w:after="80"/>
        <w:jc w:val="left"/>
      </w:pPr>
      <w:r>
        <w:rPr>
          <w:rFonts w:ascii="Calibri" w:hAnsi="Calibri"/>
          <w:b w:val="0"/>
          <w:i w:val="0"/>
          <w:sz w:val="21"/>
        </w:rPr>
        <w:t>Handling missing data correctly is critical with only 6,483 records — we cannot afford to drop rows.</w:t>
      </w:r>
    </w:p>
    <w:tbl>
      <w:tblPr>
        <w:tblStyle w:val="TableGrid"/>
        <w:tblW w:type="auto" w:w="0"/>
        <w:tblLook w:firstColumn="1" w:firstRow="1" w:lastColumn="0" w:lastRow="0" w:noHBand="0" w:noVBand="1" w:val="04A0"/>
      </w:tblPr>
      <w:tblGrid>
        <w:gridCol w:w="3137"/>
        <w:gridCol w:w="3137"/>
        <w:gridCol w:w="3137"/>
      </w:tblGrid>
      <w:tr>
        <w:tc>
          <w:tcPr>
            <w:tcW w:type="dxa" w:w="3137"/>
            <w:shd w:val="clear" w:color="auto" w:fill="1B3A6B"/>
          </w:tcPr>
          <w:p>
            <w:pPr>
              <w:jc w:val="left"/>
            </w:pPr>
            <w:r>
              <w:rPr>
                <w:b/>
                <w:i w:val="0"/>
                <w:color w:val="FFFFFF"/>
                <w:sz w:val="21"/>
              </w:rPr>
              <w:t>Feature / Column</w:t>
            </w:r>
          </w:p>
        </w:tc>
        <w:tc>
          <w:tcPr>
            <w:tcW w:type="dxa" w:w="3137"/>
            <w:shd w:val="clear" w:color="auto" w:fill="1B3A6B"/>
          </w:tcPr>
          <w:p>
            <w:pPr>
              <w:jc w:val="left"/>
            </w:pPr>
            <w:r>
              <w:rPr>
                <w:b/>
                <w:i w:val="0"/>
                <w:color w:val="FFFFFF"/>
                <w:sz w:val="21"/>
              </w:rPr>
              <w:t>Missing %</w:t>
            </w:r>
          </w:p>
        </w:tc>
        <w:tc>
          <w:tcPr>
            <w:tcW w:type="dxa" w:w="3137"/>
            <w:shd w:val="clear" w:color="auto" w:fill="1B3A6B"/>
          </w:tcPr>
          <w:p>
            <w:pPr>
              <w:jc w:val="left"/>
            </w:pPr>
            <w:r>
              <w:rPr>
                <w:b/>
                <w:i w:val="0"/>
                <w:color w:val="FFFFFF"/>
                <w:sz w:val="21"/>
              </w:rPr>
              <w:t>Treatment Strategy</w:t>
            </w:r>
          </w:p>
        </w:tc>
      </w:tr>
      <w:tr>
        <w:tc>
          <w:tcPr>
            <w:tcW w:type="dxa" w:w="3137"/>
            <w:shd w:val="clear" w:color="auto" w:fill="F5F7FA"/>
          </w:tcPr>
          <w:p>
            <w:pPr>
              <w:jc w:val="left"/>
            </w:pPr>
            <w:r>
              <w:rPr>
                <w:b/>
                <w:i w:val="0"/>
                <w:color w:val="1B3A6B"/>
                <w:sz w:val="20"/>
              </w:rPr>
              <w:t>CIBIL Score (Borrower)</w:t>
            </w:r>
          </w:p>
        </w:tc>
        <w:tc>
          <w:tcPr>
            <w:tcW w:type="dxa" w:w="3137"/>
            <w:shd w:val="clear" w:color="auto" w:fill="F5F7FA"/>
          </w:tcPr>
          <w:p>
            <w:pPr>
              <w:jc w:val="center"/>
            </w:pPr>
            <w:r>
              <w:rPr>
                <w:b w:val="0"/>
                <w:i w:val="0"/>
                <w:color w:val="1E293B"/>
                <w:sz w:val="20"/>
              </w:rPr>
              <w:t>0.8%</w:t>
            </w:r>
          </w:p>
        </w:tc>
        <w:tc>
          <w:tcPr>
            <w:tcW w:type="dxa" w:w="3137"/>
            <w:shd w:val="clear" w:color="auto" w:fill="F5F7FA"/>
          </w:tcPr>
          <w:p>
            <w:pPr>
              <w:jc w:val="left"/>
            </w:pPr>
            <w:r>
              <w:rPr>
                <w:b w:val="0"/>
                <w:i w:val="0"/>
                <w:color w:val="1E293B"/>
                <w:sz w:val="20"/>
              </w:rPr>
              <w:t>Regression imputation using Director CIBIL + Turnover + Business Age. Flag as 'imputed'</w:t>
            </w:r>
          </w:p>
        </w:tc>
      </w:tr>
      <w:tr>
        <w:tc>
          <w:tcPr>
            <w:tcW w:type="dxa" w:w="3137"/>
            <w:shd w:val="clear" w:color="auto" w:fill="FFFFFF"/>
          </w:tcPr>
          <w:p>
            <w:pPr>
              <w:jc w:val="left"/>
            </w:pPr>
            <w:r>
              <w:rPr>
                <w:b/>
                <w:i w:val="0"/>
                <w:color w:val="1B3A6B"/>
                <w:sz w:val="20"/>
              </w:rPr>
              <w:t>Business Age</w:t>
            </w:r>
          </w:p>
        </w:tc>
        <w:tc>
          <w:tcPr>
            <w:tcW w:type="dxa" w:w="3137"/>
            <w:shd w:val="clear" w:color="auto" w:fill="FFFFFF"/>
          </w:tcPr>
          <w:p>
            <w:pPr>
              <w:jc w:val="center"/>
            </w:pPr>
            <w:r>
              <w:rPr>
                <w:b w:val="0"/>
                <w:i w:val="0"/>
                <w:color w:val="1E293B"/>
                <w:sz w:val="20"/>
              </w:rPr>
              <w:t>51%</w:t>
            </w:r>
          </w:p>
        </w:tc>
        <w:tc>
          <w:tcPr>
            <w:tcW w:type="dxa" w:w="3137"/>
            <w:shd w:val="clear" w:color="auto" w:fill="FFFFFF"/>
          </w:tcPr>
          <w:p>
            <w:pPr>
              <w:jc w:val="left"/>
            </w:pPr>
            <w:r>
              <w:rPr>
                <w:b w:val="0"/>
                <w:i w:val="0"/>
                <w:color w:val="1E293B"/>
                <w:sz w:val="20"/>
              </w:rPr>
              <w:t>Impute with median within same Company Type group. Add 'business_age_imputed' binary flag</w:t>
            </w:r>
          </w:p>
        </w:tc>
      </w:tr>
      <w:tr>
        <w:tc>
          <w:tcPr>
            <w:tcW w:type="dxa" w:w="3137"/>
            <w:shd w:val="clear" w:color="auto" w:fill="F5F7FA"/>
          </w:tcPr>
          <w:p>
            <w:pPr>
              <w:jc w:val="left"/>
            </w:pPr>
            <w:r>
              <w:rPr>
                <w:b/>
                <w:i w:val="0"/>
                <w:color w:val="1B3A6B"/>
                <w:sz w:val="20"/>
              </w:rPr>
              <w:t>State / Location</w:t>
            </w:r>
          </w:p>
        </w:tc>
        <w:tc>
          <w:tcPr>
            <w:tcW w:type="dxa" w:w="3137"/>
            <w:shd w:val="clear" w:color="auto" w:fill="F5F7FA"/>
          </w:tcPr>
          <w:p>
            <w:pPr>
              <w:jc w:val="center"/>
            </w:pPr>
            <w:r>
              <w:rPr>
                <w:b w:val="0"/>
                <w:i w:val="0"/>
                <w:color w:val="1E293B"/>
                <w:sz w:val="20"/>
              </w:rPr>
              <w:t>45%</w:t>
            </w:r>
          </w:p>
        </w:tc>
        <w:tc>
          <w:tcPr>
            <w:tcW w:type="dxa" w:w="3137"/>
            <w:shd w:val="clear" w:color="auto" w:fill="F5F7FA"/>
          </w:tcPr>
          <w:p>
            <w:pPr>
              <w:jc w:val="left"/>
            </w:pPr>
            <w:r>
              <w:rPr>
                <w:b w:val="0"/>
                <w:i w:val="0"/>
                <w:color w:val="1E293B"/>
                <w:sz w:val="20"/>
              </w:rPr>
              <w:t>Assign 'Unknown' category. Use as a feature with 'state_unknown' level</w:t>
            </w:r>
          </w:p>
        </w:tc>
      </w:tr>
      <w:tr>
        <w:tc>
          <w:tcPr>
            <w:tcW w:type="dxa" w:w="3137"/>
            <w:shd w:val="clear" w:color="auto" w:fill="FFFFFF"/>
          </w:tcPr>
          <w:p>
            <w:pPr>
              <w:jc w:val="left"/>
            </w:pPr>
            <w:r>
              <w:rPr>
                <w:b/>
                <w:i w:val="0"/>
                <w:color w:val="1B3A6B"/>
                <w:sz w:val="20"/>
              </w:rPr>
              <w:t>Director CIBIL</w:t>
            </w:r>
          </w:p>
        </w:tc>
        <w:tc>
          <w:tcPr>
            <w:tcW w:type="dxa" w:w="3137"/>
            <w:shd w:val="clear" w:color="auto" w:fill="FFFFFF"/>
          </w:tcPr>
          <w:p>
            <w:pPr>
              <w:jc w:val="center"/>
            </w:pPr>
            <w:r>
              <w:rPr>
                <w:b w:val="0"/>
                <w:i w:val="0"/>
                <w:color w:val="1E293B"/>
                <w:sz w:val="20"/>
              </w:rPr>
              <w:t>14%</w:t>
            </w:r>
          </w:p>
        </w:tc>
        <w:tc>
          <w:tcPr>
            <w:tcW w:type="dxa" w:w="3137"/>
            <w:shd w:val="clear" w:color="auto" w:fill="FFFFFF"/>
          </w:tcPr>
          <w:p>
            <w:pPr>
              <w:jc w:val="left"/>
            </w:pPr>
            <w:r>
              <w:rPr>
                <w:b w:val="0"/>
                <w:i w:val="0"/>
                <w:color w:val="1E293B"/>
                <w:sz w:val="20"/>
              </w:rPr>
              <w:t>Impute with median CIBIL by company type + sector. Flag as 'director_cibil_imputed'</w:t>
            </w:r>
          </w:p>
        </w:tc>
      </w:tr>
      <w:tr>
        <w:tc>
          <w:tcPr>
            <w:tcW w:type="dxa" w:w="3137"/>
            <w:shd w:val="clear" w:color="auto" w:fill="F5F7FA"/>
          </w:tcPr>
          <w:p>
            <w:pPr>
              <w:jc w:val="left"/>
            </w:pPr>
            <w:r>
              <w:rPr>
                <w:b/>
                <w:i w:val="0"/>
                <w:color w:val="1B3A6B"/>
                <w:sz w:val="20"/>
              </w:rPr>
              <w:t>Bank Data (all bank features)</w:t>
            </w:r>
          </w:p>
        </w:tc>
        <w:tc>
          <w:tcPr>
            <w:tcW w:type="dxa" w:w="3137"/>
            <w:shd w:val="clear" w:color="auto" w:fill="F5F7FA"/>
          </w:tcPr>
          <w:p>
            <w:pPr>
              <w:jc w:val="center"/>
            </w:pPr>
            <w:r>
              <w:rPr>
                <w:b w:val="0"/>
                <w:i w:val="0"/>
                <w:color w:val="1E293B"/>
                <w:sz w:val="20"/>
              </w:rPr>
              <w:t>62%</w:t>
            </w:r>
          </w:p>
        </w:tc>
        <w:tc>
          <w:tcPr>
            <w:tcW w:type="dxa" w:w="3137"/>
            <w:shd w:val="clear" w:color="auto" w:fill="F5F7FA"/>
          </w:tcPr>
          <w:p>
            <w:pPr>
              <w:jc w:val="left"/>
            </w:pPr>
            <w:r>
              <w:rPr>
                <w:b w:val="0"/>
                <w:i w:val="0"/>
                <w:color w:val="1E293B"/>
                <w:sz w:val="20"/>
              </w:rPr>
              <w:t>Set all bank features to 0. Add 'has_bank_data' = 0 flag. This is meaningful — absence itself is a risk signal</w:t>
            </w:r>
          </w:p>
        </w:tc>
      </w:tr>
      <w:tr>
        <w:tc>
          <w:tcPr>
            <w:tcW w:type="dxa" w:w="3137"/>
            <w:shd w:val="clear" w:color="auto" w:fill="FFFFFF"/>
          </w:tcPr>
          <w:p>
            <w:pPr>
              <w:jc w:val="left"/>
            </w:pPr>
            <w:r>
              <w:rPr>
                <w:b/>
                <w:i w:val="0"/>
                <w:color w:val="1B3A6B"/>
                <w:sz w:val="20"/>
              </w:rPr>
              <w:t>Director Ownership %</w:t>
            </w:r>
          </w:p>
        </w:tc>
        <w:tc>
          <w:tcPr>
            <w:tcW w:type="dxa" w:w="3137"/>
            <w:shd w:val="clear" w:color="auto" w:fill="FFFFFF"/>
          </w:tcPr>
          <w:p>
            <w:pPr>
              <w:jc w:val="center"/>
            </w:pPr>
            <w:r>
              <w:rPr>
                <w:b w:val="0"/>
                <w:i w:val="0"/>
                <w:color w:val="1E293B"/>
                <w:sz w:val="20"/>
              </w:rPr>
              <w:t>~20%</w:t>
            </w:r>
          </w:p>
        </w:tc>
        <w:tc>
          <w:tcPr>
            <w:tcW w:type="dxa" w:w="3137"/>
            <w:shd w:val="clear" w:color="auto" w:fill="FFFFFF"/>
          </w:tcPr>
          <w:p>
            <w:pPr>
              <w:jc w:val="left"/>
            </w:pPr>
            <w:r>
              <w:rPr>
                <w:b w:val="0"/>
                <w:i w:val="0"/>
                <w:color w:val="1E293B"/>
                <w:sz w:val="20"/>
              </w:rPr>
              <w:t>For sole proprietors: impute as 100%. For others: impute with 51% (majority threshold). Add flag</w:t>
            </w:r>
          </w:p>
        </w:tc>
      </w:tr>
      <w:tr>
        <w:tc>
          <w:tcPr>
            <w:tcW w:type="dxa" w:w="3137"/>
            <w:shd w:val="clear" w:color="auto" w:fill="F5F7FA"/>
          </w:tcPr>
          <w:p>
            <w:pPr>
              <w:jc w:val="left"/>
            </w:pPr>
            <w:r>
              <w:rPr>
                <w:b/>
                <w:i w:val="0"/>
                <w:color w:val="1B3A6B"/>
                <w:sz w:val="20"/>
              </w:rPr>
              <w:t>Financial KPIs (DSCR, ratios)</w:t>
            </w:r>
          </w:p>
        </w:tc>
        <w:tc>
          <w:tcPr>
            <w:tcW w:type="dxa" w:w="3137"/>
            <w:shd w:val="clear" w:color="auto" w:fill="F5F7FA"/>
          </w:tcPr>
          <w:p>
            <w:pPr>
              <w:jc w:val="center"/>
            </w:pPr>
            <w:r>
              <w:rPr>
                <w:b w:val="0"/>
                <w:i w:val="0"/>
                <w:color w:val="1E293B"/>
                <w:sz w:val="20"/>
              </w:rPr>
              <w:t>92%</w:t>
            </w:r>
          </w:p>
        </w:tc>
        <w:tc>
          <w:tcPr>
            <w:tcW w:type="dxa" w:w="3137"/>
            <w:shd w:val="clear" w:color="auto" w:fill="F5F7FA"/>
          </w:tcPr>
          <w:p>
            <w:pPr>
              <w:jc w:val="left"/>
            </w:pPr>
            <w:r>
              <w:rPr>
                <w:b w:val="0"/>
                <w:i w:val="0"/>
                <w:color w:val="1E293B"/>
                <w:sz w:val="20"/>
              </w:rPr>
              <w:t>Impute with sector-level median. Add 'kpi_available' = 0 flag</w:t>
            </w:r>
          </w:p>
        </w:tc>
      </w:tr>
      <w:tr>
        <w:tc>
          <w:tcPr>
            <w:tcW w:type="dxa" w:w="3137"/>
            <w:shd w:val="clear" w:color="auto" w:fill="FFFFFF"/>
          </w:tcPr>
          <w:p>
            <w:pPr>
              <w:jc w:val="left"/>
            </w:pPr>
            <w:r>
              <w:rPr>
                <w:b/>
                <w:i w:val="0"/>
                <w:color w:val="1B3A6B"/>
                <w:sz w:val="20"/>
              </w:rPr>
              <w:t>Networth</w:t>
            </w:r>
          </w:p>
        </w:tc>
        <w:tc>
          <w:tcPr>
            <w:tcW w:type="dxa" w:w="3137"/>
            <w:shd w:val="clear" w:color="auto" w:fill="FFFFFF"/>
          </w:tcPr>
          <w:p>
            <w:pPr>
              <w:jc w:val="center"/>
            </w:pPr>
            <w:r>
              <w:rPr>
                <w:b w:val="0"/>
                <w:i w:val="0"/>
                <w:color w:val="1E293B"/>
                <w:sz w:val="20"/>
              </w:rPr>
              <w:t>8%</w:t>
            </w:r>
          </w:p>
        </w:tc>
        <w:tc>
          <w:tcPr>
            <w:tcW w:type="dxa" w:w="3137"/>
            <w:shd w:val="clear" w:color="auto" w:fill="FFFFFF"/>
          </w:tcPr>
          <w:p>
            <w:pPr>
              <w:jc w:val="left"/>
            </w:pPr>
            <w:r>
              <w:rPr>
                <w:b w:val="0"/>
                <w:i w:val="0"/>
                <w:color w:val="1E293B"/>
                <w:sz w:val="20"/>
              </w:rPr>
              <w:t>Impute with sector + size tier median. Do not drop rows</w:t>
            </w:r>
          </w:p>
        </w:tc>
      </w:tr>
      <w:tr>
        <w:tc>
          <w:tcPr>
            <w:tcW w:type="dxa" w:w="3137"/>
            <w:shd w:val="clear" w:color="auto" w:fill="F5F7FA"/>
          </w:tcPr>
          <w:p>
            <w:pPr>
              <w:jc w:val="left"/>
            </w:pPr>
            <w:r>
              <w:rPr>
                <w:b/>
                <w:i w:val="0"/>
                <w:color w:val="1B3A6B"/>
                <w:sz w:val="20"/>
              </w:rPr>
              <w:t>Loan Amount Requested</w:t>
            </w:r>
          </w:p>
        </w:tc>
        <w:tc>
          <w:tcPr>
            <w:tcW w:type="dxa" w:w="3137"/>
            <w:shd w:val="clear" w:color="auto" w:fill="F5F7FA"/>
          </w:tcPr>
          <w:p>
            <w:pPr>
              <w:jc w:val="center"/>
            </w:pPr>
            <w:r>
              <w:rPr>
                <w:b w:val="0"/>
                <w:i w:val="0"/>
                <w:color w:val="1E293B"/>
                <w:sz w:val="20"/>
              </w:rPr>
              <w:t>Partial</w:t>
            </w:r>
          </w:p>
        </w:tc>
        <w:tc>
          <w:tcPr>
            <w:tcW w:type="dxa" w:w="3137"/>
            <w:shd w:val="clear" w:color="auto" w:fill="F5F7FA"/>
          </w:tcPr>
          <w:p>
            <w:pPr>
              <w:jc w:val="left"/>
            </w:pPr>
            <w:r>
              <w:rPr>
                <w:b w:val="0"/>
                <w:i w:val="0"/>
                <w:color w:val="1E293B"/>
                <w:sz w:val="20"/>
              </w:rPr>
              <w:t>Impute with product-category median amount. Flag as missing</w:t>
            </w:r>
          </w:p>
        </w:tc>
      </w:tr>
    </w:tbl>
    <w:p>
      <w:pPr>
        <w:spacing w:before="0" w:after="80"/>
        <w:jc w:val="left"/>
      </w:pPr>
    </w:p>
    <w:p>
      <w:pPr>
        <w:spacing w:before="0" w:after="120"/>
        <w:jc w:val="left"/>
      </w:pPr>
      <w:r>
        <w:rPr>
          <w:rFonts w:ascii="Calibri" w:hAnsi="Calibri"/>
          <w:b/>
          <w:i w:val="0"/>
          <w:color w:val="0D9488"/>
          <w:sz w:val="21"/>
        </w:rPr>
        <w:t>Key principle: Every missing value is replaced by an imputed value PLUS a binary 'field_missing' flag feature. This allows the model to learn both the imputed value AND the fact that data was missing.</w:t>
      </w:r>
    </w:p>
    <w:p>
      <w:pPr>
        <w:spacing w:before="40" w:after="40"/>
        <w:pBdr>
          <w:bottom w:val="single" w:sz="6" w:space="1" w:color="0D9488"/>
        </w:pBdr>
      </w:pPr>
    </w:p>
    <w:p>
      <w:r>
        <w:br w:type="page"/>
      </w:r>
    </w:p>
    <w:tbl>
      <w:tblPr>
        <w:tblW w:type="auto" w:w="0"/>
        <w:jc w:val="left"/>
        <w:tblLook w:firstColumn="1" w:firstRow="1" w:lastColumn="0" w:lastRow="0" w:noHBand="0" w:noVBand="1" w:val="04A0"/>
      </w:tblPr>
      <w:tblGrid>
        <w:gridCol w:w="9412"/>
      </w:tblGrid>
      <w:tr>
        <w:tc>
          <w:tcPr>
            <w:tcW w:type="dxa" w:w="9072"/>
            <w:shd w:val="clear" w:color="auto" w:fill="1B3A6B"/>
          </w:tcPr>
          <w:p>
            <w:pPr>
              <w:spacing w:before="80" w:after="80"/>
              <w:jc w:val="left"/>
            </w:pPr>
            <w:r>
              <w:rPr>
                <w:b/>
                <w:i w:val="0"/>
                <w:color w:val="FFFFFF"/>
                <w:sz w:val="26"/>
              </w:rPr>
              <w:t>SECTION 4 — FULL DELIVERY TIMELINE  (April – May 2026)</w:t>
            </w:r>
          </w:p>
        </w:tc>
      </w:tr>
    </w:tbl>
    <w:p/>
    <w:p>
      <w:pPr>
        <w:pStyle w:val="Heading2"/>
        <w:spacing w:before="240" w:after="80"/>
      </w:pPr>
      <w:r>
        <w:rPr>
          <w:rFonts w:ascii="Calibri" w:hAnsi="Calibri"/>
          <w:color w:val="1B3A6B"/>
        </w:rPr>
        <w:t>Overview</w:t>
      </w:r>
    </w:p>
    <w:p>
      <w:pPr>
        <w:spacing w:before="0" w:after="120"/>
        <w:jc w:val="left"/>
      </w:pPr>
      <w:r>
        <w:rPr>
          <w:rFonts w:ascii="Calibri" w:hAnsi="Calibri"/>
          <w:b w:val="0"/>
          <w:i w:val="0"/>
          <w:sz w:val="21"/>
        </w:rPr>
        <w:t>Project started January 2026. EDA is complete as of early April 2026. All remaining phases must be completed by 31 May 2026 — 8 weeks from today (4 April 2026). The timeline below is structured week-by-week with clear owners and deliverables.</w:t>
      </w:r>
    </w:p>
    <w:tbl>
      <w:tblPr>
        <w:tblStyle w:val="TableGrid"/>
        <w:tblW w:type="auto" w:w="0"/>
        <w:tblLook w:firstColumn="1" w:firstRow="1" w:lastColumn="0" w:lastRow="0" w:noHBand="0" w:noVBand="1" w:val="04A0"/>
      </w:tblPr>
      <w:tblGrid>
        <w:gridCol w:w="4706"/>
        <w:gridCol w:w="4706"/>
      </w:tblGrid>
      <w:tr>
        <w:tc>
          <w:tcPr>
            <w:tcW w:type="dxa" w:w="9412"/>
            <w:gridSpan w:val="2"/>
            <w:shd w:val="clear" w:color="auto" w:fill="1B3A6B"/>
          </w:tcPr>
          <w:p>
            <w:pPr>
              <w:jc w:val="left"/>
            </w:pPr>
            <w:r>
              <w:rPr>
                <w:b/>
                <w:i w:val="0"/>
                <w:color w:val="FFFFFF"/>
                <w:sz w:val="23"/>
              </w:rPr>
              <w:t>Week 1  (7–11 Apr)  —  Data Completion</w:t>
              <w:br/>
              <w:t>&amp; Label Acquisition</w:t>
            </w:r>
          </w:p>
        </w:tc>
      </w:tr>
      <w:tr>
        <w:tc>
          <w:tcPr>
            <w:tcW w:type="dxa" w:w="4706"/>
            <w:shd w:val="clear" w:color="auto" w:fill="F5F7FA"/>
          </w:tcPr>
          <w:p>
            <w:pPr>
              <w:jc w:val="left"/>
            </w:pPr>
            <w:r>
              <w:rPr>
                <w:b/>
                <w:i w:val="0"/>
                <w:color w:val="1B3A6B"/>
                <w:sz w:val="20"/>
              </w:rPr>
              <w:t>Key Tasks</w:t>
            </w:r>
          </w:p>
        </w:tc>
        <w:tc>
          <w:tcPr>
            <w:tcW w:type="dxa" w:w="4706"/>
            <w:shd w:val="clear" w:color="auto" w:fill="F5F7FA"/>
          </w:tcPr>
          <w:p>
            <w:r>
              <w:rPr>
                <w:rFonts w:ascii="Calibri" w:hAnsi="Calibri"/>
                <w:color w:val="1E293B"/>
                <w:sz w:val="19"/>
              </w:rPr>
              <w:t xml:space="preserve">  ▸  Collect formal outcome labels from FinnUp CRM/LOS</w:t>
              <w:br/>
              <w:t xml:space="preserve">  ▸  Request any additional borrower records (target: 10,000+)</w:t>
              <w:br/>
              <w:t xml:space="preserve">  ▸  Confirm lender policy files are complete and current</w:t>
              <w:br/>
              <w:t xml:space="preserve">  ▸  Clarify AA/bank consent status for 62% uncovered borrowers</w:t>
              <w:br/>
              <w:t xml:space="preserve">  ▸  Review multi-year loan application history — expand training rows</w:t>
            </w:r>
          </w:p>
        </w:tc>
      </w:tr>
      <w:tr>
        <w:tc>
          <w:tcPr>
            <w:tcW w:type="dxa" w:w="4706"/>
            <w:shd w:val="clear" w:color="auto" w:fill="FFFFFF"/>
          </w:tcPr>
          <w:p>
            <w:pPr>
              <w:jc w:val="left"/>
            </w:pPr>
            <w:r>
              <w:rPr>
                <w:b/>
                <w:i w:val="0"/>
                <w:color w:val="1B3A6B"/>
                <w:sz w:val="20"/>
              </w:rPr>
              <w:t>Owner(s)</w:t>
            </w:r>
          </w:p>
        </w:tc>
        <w:tc>
          <w:tcPr>
            <w:tcW w:type="dxa" w:w="4706"/>
            <w:shd w:val="clear" w:color="auto" w:fill="FFFFFF"/>
          </w:tcPr>
          <w:p>
            <w:pPr>
              <w:jc w:val="left"/>
            </w:pPr>
            <w:r>
              <w:rPr>
                <w:b w:val="0"/>
                <w:i w:val="0"/>
                <w:color w:val="1E293B"/>
                <w:sz w:val="20"/>
              </w:rPr>
              <w:t>Ganesh / FinnUp Team</w:t>
            </w:r>
          </w:p>
        </w:tc>
      </w:tr>
      <w:tr>
        <w:tc>
          <w:tcPr>
            <w:tcW w:type="dxa" w:w="4706"/>
            <w:shd w:val="clear" w:color="auto" w:fill="F5F7FA"/>
          </w:tcPr>
          <w:p>
            <w:pPr>
              <w:jc w:val="left"/>
            </w:pPr>
            <w:r>
              <w:rPr>
                <w:b/>
                <w:i w:val="0"/>
                <w:color w:val="0D9488"/>
                <w:sz w:val="20"/>
              </w:rPr>
              <w:t>Deliverable</w:t>
            </w:r>
          </w:p>
        </w:tc>
        <w:tc>
          <w:tcPr>
            <w:tcW w:type="dxa" w:w="4706"/>
            <w:shd w:val="clear" w:color="auto" w:fill="F5F7FA"/>
          </w:tcPr>
          <w:p>
            <w:pPr>
              <w:jc w:val="left"/>
            </w:pPr>
            <w:r>
              <w:rPr>
                <w:b w:val="0"/>
                <w:i w:val="0"/>
                <w:color w:val="1E293B"/>
                <w:sz w:val="20"/>
              </w:rPr>
              <w:t>Outcome label dataset (CSV); augmented borrower records; confirmed lender policies</w:t>
            </w:r>
          </w:p>
        </w:tc>
      </w:tr>
      <w:tr>
        <w:tc>
          <w:tcPr>
            <w:tcW w:type="dxa" w:w="4706"/>
            <w:shd w:val="clear" w:color="auto" w:fill="FFFFFF"/>
          </w:tcPr>
          <w:p>
            <w:pPr>
              <w:jc w:val="left"/>
            </w:pPr>
            <w:r>
              <w:rPr>
                <w:b/>
                <w:i w:val="0"/>
                <w:color w:val="EF4444"/>
                <w:sz w:val="20"/>
              </w:rPr>
              <w:t>Risk / Mitigation</w:t>
            </w:r>
          </w:p>
        </w:tc>
        <w:tc>
          <w:tcPr>
            <w:tcW w:type="dxa" w:w="4706"/>
            <w:shd w:val="clear" w:color="auto" w:fill="FFFFFF"/>
          </w:tcPr>
          <w:p>
            <w:pPr>
              <w:jc w:val="left"/>
            </w:pPr>
            <w:r>
              <w:rPr>
                <w:b w:val="0"/>
                <w:i/>
                <w:color w:val="64748B"/>
                <w:sz w:val="20"/>
              </w:rPr>
              <w:t>FinnUp team responsiveness — if labels not received, use FinnUp Status proxy and proceed</w:t>
            </w:r>
          </w:p>
        </w:tc>
      </w:tr>
    </w:tbl>
    <w:p>
      <w:pPr>
        <w:spacing w:before="0" w:after="80"/>
        <w:jc w:val="left"/>
      </w:pPr>
    </w:p>
    <w:tbl>
      <w:tblPr>
        <w:tblStyle w:val="TableGrid"/>
        <w:tblW w:type="auto" w:w="0"/>
        <w:tblLook w:firstColumn="1" w:firstRow="1" w:lastColumn="0" w:lastRow="0" w:noHBand="0" w:noVBand="1" w:val="04A0"/>
      </w:tblPr>
      <w:tblGrid>
        <w:gridCol w:w="4706"/>
        <w:gridCol w:w="4706"/>
      </w:tblGrid>
      <w:tr>
        <w:tc>
          <w:tcPr>
            <w:tcW w:type="dxa" w:w="9412"/>
            <w:gridSpan w:val="2"/>
            <w:shd w:val="clear" w:color="auto" w:fill="1B3A6B"/>
          </w:tcPr>
          <w:p>
            <w:pPr>
              <w:jc w:val="left"/>
            </w:pPr>
            <w:r>
              <w:rPr>
                <w:b/>
                <w:i w:val="0"/>
                <w:color w:val="FFFFFF"/>
                <w:sz w:val="23"/>
              </w:rPr>
              <w:t>Week 2  (14–18 Apr)  —  Feature Engineering</w:t>
              <w:br/>
              <w:t>(Phase 2)</w:t>
            </w:r>
          </w:p>
        </w:tc>
      </w:tr>
      <w:tr>
        <w:tc>
          <w:tcPr>
            <w:tcW w:type="dxa" w:w="4706"/>
            <w:shd w:val="clear" w:color="auto" w:fill="F5F7FA"/>
          </w:tcPr>
          <w:p>
            <w:pPr>
              <w:jc w:val="left"/>
            </w:pPr>
            <w:r>
              <w:rPr>
                <w:b/>
                <w:i w:val="0"/>
                <w:color w:val="1B3A6B"/>
                <w:sz w:val="20"/>
              </w:rPr>
              <w:t>Key Tasks</w:t>
            </w:r>
          </w:p>
        </w:tc>
        <w:tc>
          <w:tcPr>
            <w:tcW w:type="dxa" w:w="4706"/>
            <w:shd w:val="clear" w:color="auto" w:fill="F5F7FA"/>
          </w:tcPr>
          <w:p>
            <w:r>
              <w:rPr>
                <w:rFonts w:ascii="Calibri" w:hAnsi="Calibri"/>
                <w:color w:val="1E293B"/>
                <w:sz w:val="19"/>
              </w:rPr>
              <w:t xml:space="preserve">  ▸  Build notebook 02_feature_engineering.ipynb</w:t>
              <w:br/>
              <w:t xml:space="preserve">  ▸  Engineer all Profile features (log transforms, binning, encoding)</w:t>
              <w:br/>
              <w:t xml:space="preserve">  ▸  Engineer Director CIBIL features (min/max/avg, flags)</w:t>
              <w:br/>
              <w:t xml:space="preserve">  ▸  Build CIBIL imputation model (regression on director + financial features)</w:t>
              <w:br/>
              <w:t xml:space="preserve">  ▸  Engineer Bank Statement features (bounce ratio, CDR, EOD balance)</w:t>
              <w:br/>
              <w:t xml:space="preserve">  ▸  Implement all missing value imputation strategies</w:t>
            </w:r>
          </w:p>
        </w:tc>
      </w:tr>
      <w:tr>
        <w:tc>
          <w:tcPr>
            <w:tcW w:type="dxa" w:w="4706"/>
            <w:shd w:val="clear" w:color="auto" w:fill="FFFFFF"/>
          </w:tcPr>
          <w:p>
            <w:pPr>
              <w:jc w:val="left"/>
            </w:pPr>
            <w:r>
              <w:rPr>
                <w:b/>
                <w:i w:val="0"/>
                <w:color w:val="1B3A6B"/>
                <w:sz w:val="20"/>
              </w:rPr>
              <w:t>Owner(s)</w:t>
            </w:r>
          </w:p>
        </w:tc>
        <w:tc>
          <w:tcPr>
            <w:tcW w:type="dxa" w:w="4706"/>
            <w:shd w:val="clear" w:color="auto" w:fill="FFFFFF"/>
          </w:tcPr>
          <w:p>
            <w:pPr>
              <w:jc w:val="left"/>
            </w:pPr>
            <w:r>
              <w:rPr>
                <w:b w:val="0"/>
                <w:i w:val="0"/>
                <w:color w:val="1E293B"/>
                <w:sz w:val="20"/>
              </w:rPr>
              <w:t>Pranali / Rahul / Anil</w:t>
            </w:r>
          </w:p>
        </w:tc>
      </w:tr>
      <w:tr>
        <w:tc>
          <w:tcPr>
            <w:tcW w:type="dxa" w:w="4706"/>
            <w:shd w:val="clear" w:color="auto" w:fill="F5F7FA"/>
          </w:tcPr>
          <w:p>
            <w:pPr>
              <w:jc w:val="left"/>
            </w:pPr>
            <w:r>
              <w:rPr>
                <w:b/>
                <w:i w:val="0"/>
                <w:color w:val="0D9488"/>
                <w:sz w:val="20"/>
              </w:rPr>
              <w:t>Deliverable</w:t>
            </w:r>
          </w:p>
        </w:tc>
        <w:tc>
          <w:tcPr>
            <w:tcW w:type="dxa" w:w="4706"/>
            <w:shd w:val="clear" w:color="auto" w:fill="F5F7FA"/>
          </w:tcPr>
          <w:p>
            <w:pPr>
              <w:jc w:val="left"/>
            </w:pPr>
            <w:r>
              <w:rPr>
                <w:b w:val="0"/>
                <w:i w:val="0"/>
                <w:color w:val="1E293B"/>
                <w:sz w:val="20"/>
              </w:rPr>
              <w:t>Feature engineering notebook; feature matrix with 50+ columns; imputation pipeline</w:t>
            </w:r>
          </w:p>
        </w:tc>
      </w:tr>
      <w:tr>
        <w:tc>
          <w:tcPr>
            <w:tcW w:type="dxa" w:w="4706"/>
            <w:shd w:val="clear" w:color="auto" w:fill="FFFFFF"/>
          </w:tcPr>
          <w:p>
            <w:pPr>
              <w:jc w:val="left"/>
            </w:pPr>
            <w:r>
              <w:rPr>
                <w:b/>
                <w:i w:val="0"/>
                <w:color w:val="EF4444"/>
                <w:sz w:val="20"/>
              </w:rPr>
              <w:t>Risk / Mitigation</w:t>
            </w:r>
          </w:p>
        </w:tc>
        <w:tc>
          <w:tcPr>
            <w:tcW w:type="dxa" w:w="4706"/>
            <w:shd w:val="clear" w:color="auto" w:fill="FFFFFF"/>
          </w:tcPr>
          <w:p>
            <w:pPr>
              <w:jc w:val="left"/>
            </w:pPr>
            <w:r>
              <w:rPr>
                <w:b w:val="0"/>
                <w:i/>
                <w:color w:val="64748B"/>
                <w:sz w:val="20"/>
              </w:rPr>
              <w:t>Data quality issues or unexpected column name mismatches in raw sheets</w:t>
            </w:r>
          </w:p>
        </w:tc>
      </w:tr>
    </w:tbl>
    <w:p>
      <w:pPr>
        <w:spacing w:before="0" w:after="80"/>
        <w:jc w:val="left"/>
      </w:pPr>
    </w:p>
    <w:tbl>
      <w:tblPr>
        <w:tblStyle w:val="TableGrid"/>
        <w:tblW w:type="auto" w:w="0"/>
        <w:tblLook w:firstColumn="1" w:firstRow="1" w:lastColumn="0" w:lastRow="0" w:noHBand="0" w:noVBand="1" w:val="04A0"/>
      </w:tblPr>
      <w:tblGrid>
        <w:gridCol w:w="9412"/>
      </w:tblGrid>
      <w:tr>
        <w:tc>
          <w:tcPr>
            <w:tcW w:type="dxa" w:w="9412"/>
            <w:shd w:val="clear" w:color="auto" w:fill="F59E0B"/>
          </w:tcPr>
          <w:p>
            <w:pPr>
              <w:jc w:val="left"/>
            </w:pPr>
            <w:r>
              <w:rPr>
                <w:b/>
                <w:i w:val="0"/>
                <w:color w:val="FFFFFF"/>
                <w:sz w:val="22"/>
              </w:rPr>
              <w:t>TOOL DECISION NOTE — Why Python (scikit-learn / XGBoost) instead of Orange 3?</w:t>
            </w:r>
          </w:p>
        </w:tc>
      </w:tr>
      <w:tr>
        <w:tc>
          <w:tcPr>
            <w:tcW w:type="dxa" w:w="9412"/>
            <w:shd w:val="clear" w:color="auto" w:fill="F5F7FA"/>
          </w:tcPr>
          <w:p>
            <w:r>
              <w:rPr>
                <w:rFonts w:ascii="Calibri" w:hAnsi="Calibri"/>
                <w:color w:val="1E293B"/>
                <w:sz w:val="19"/>
              </w:rPr>
              <w:t>Orange 3 was the visual ML tool taught during the APAL Programme at IIM Calcutta. It is excellent for exploring data, testing algorithms and explaining concepts without writing code. However, for this project we are using Python (scikit-learn + XGBoost + FastAPI) as the primary implementation language. The reasons are:</w:t>
              <w:br/>
              <w:br/>
              <w:t xml:space="preserve">  1.  Deployment requirement — Orange produces a visual workflow (.ows file) that cannot be packaged into an API or Docker container. Python .pkl model files can be loaded by FastAPI and served as a live HTTP endpoint that FinnUp's system calls in real-time.</w:t>
              <w:br/>
              <w:br/>
              <w:t xml:space="preserve">  2.  FinnUp integration — the final deliverable requires a REST API that FinnUp's portal calls when a borrower registers. This is only achievable in Python/FastAPI, not in Orange.</w:t>
              <w:br/>
              <w:br/>
              <w:t xml:space="preserve">  3.  Lender policy rule engine — applying per-lender eligibility filters (CIBIL minimums, sector constraints, geography) before ML scoring requires custom Python logic that Orange's widget-based environment cannot accommodate.</w:t>
              <w:br/>
              <w:br/>
              <w:t xml:space="preserve">  4.  SHAP explanations — the python-shap library integrates natively with XGBoost and scikit-learn pipelines, enabling automated 'top reasons' generation per prediction. Orange has limited SHAP support and no way to embed it in an API response.</w:t>
              <w:br/>
              <w:br/>
              <w:t xml:space="preserve">  5.  Batch scoring at scale — scoring all 6,483 existing borrowers in a nightly batch job (vectorized numpy/pandas operations) is orders of magnitude faster than Orange's row-by-row widget processing.</w:t>
              <w:br/>
              <w:br/>
              <w:t xml:space="preserve">  6.  Version control and reproducibility — Python code, model files and feature pipelines are tracked in Git and can be re-run by any team member. Orange workflows are tied to a GUI and difficult to version-control or automate.</w:t>
              <w:br/>
              <w:br/>
              <w:t>How Orange is still used (optional validation step):</w:t>
              <w:br/>
              <w:t xml:space="preserve">  &gt; Orange is used optionally in Week 2 as a quick sanity-check tool — loading the feature matrix, visualising correlation matrices and running a quick Logistic Regression or Naive Bayes to confirm signals before committing to full XGBoost training in Python.</w:t>
              <w:br/>
              <w:t xml:space="preserve">  &gt; Screenshots of Orange validation can be included in the IIM Calcutta final report as evidence of academic grounding alongside the production Python implementation.</w:t>
              <w:br/>
              <w:br/>
              <w:t>IIM Calcutta submission note:</w:t>
              <w:br/>
              <w:t xml:space="preserve">  'Initial model concept validated using Orange 3 (IIM APAL tool); production implementation built in Python (XGBoost / scikit-learn) to enable REST API deployment and live integration with FinnUp's borrower registration platform.'</w:t>
            </w:r>
          </w:p>
        </w:tc>
      </w:tr>
    </w:tbl>
    <w:p>
      <w:pPr>
        <w:spacing w:before="0" w:after="80"/>
        <w:jc w:val="left"/>
      </w:pPr>
    </w:p>
    <w:tbl>
      <w:tblPr>
        <w:tblStyle w:val="TableGrid"/>
        <w:tblW w:type="auto" w:w="0"/>
        <w:tblLook w:firstColumn="1" w:firstRow="1" w:lastColumn="0" w:lastRow="0" w:noHBand="0" w:noVBand="1" w:val="04A0"/>
      </w:tblPr>
      <w:tblGrid>
        <w:gridCol w:w="3137"/>
        <w:gridCol w:w="3137"/>
        <w:gridCol w:w="3137"/>
      </w:tblGrid>
      <w:tr>
        <w:tc>
          <w:tcPr>
            <w:tcW w:type="dxa" w:w="3137"/>
            <w:shd w:val="clear" w:color="auto" w:fill="1B3A6B"/>
          </w:tcPr>
          <w:p>
            <w:pPr>
              <w:jc w:val="left"/>
            </w:pPr>
            <w:r>
              <w:rPr>
                <w:b/>
                <w:i w:val="0"/>
                <w:color w:val="FFFFFF"/>
                <w:sz w:val="19"/>
              </w:rPr>
              <w:t>Criteria</w:t>
            </w:r>
          </w:p>
        </w:tc>
        <w:tc>
          <w:tcPr>
            <w:tcW w:type="dxa" w:w="3137"/>
            <w:shd w:val="clear" w:color="auto" w:fill="1B3A6B"/>
          </w:tcPr>
          <w:p>
            <w:pPr>
              <w:jc w:val="left"/>
            </w:pPr>
            <w:r>
              <w:rPr>
                <w:b/>
                <w:i w:val="0"/>
                <w:color w:val="FFFFFF"/>
                <w:sz w:val="19"/>
              </w:rPr>
              <w:t>Orange 3 (IIMC tool)</w:t>
            </w:r>
          </w:p>
        </w:tc>
        <w:tc>
          <w:tcPr>
            <w:tcW w:type="dxa" w:w="3137"/>
            <w:shd w:val="clear" w:color="auto" w:fill="1B3A6B"/>
          </w:tcPr>
          <w:p>
            <w:pPr>
              <w:jc w:val="left"/>
            </w:pPr>
            <w:r>
              <w:rPr>
                <w:b/>
                <w:i w:val="0"/>
                <w:color w:val="FFFFFF"/>
                <w:sz w:val="19"/>
              </w:rPr>
              <w:t>Python — scikit-learn + XGBoost</w:t>
            </w:r>
          </w:p>
        </w:tc>
      </w:tr>
      <w:tr>
        <w:tc>
          <w:tcPr>
            <w:tcW w:type="dxa" w:w="3137"/>
            <w:shd w:val="clear" w:color="auto" w:fill="FFFFFF"/>
          </w:tcPr>
          <w:p>
            <w:pPr>
              <w:jc w:val="left"/>
            </w:pPr>
            <w:r>
              <w:rPr>
                <w:b/>
                <w:i w:val="0"/>
                <w:color w:val="1E293B"/>
                <w:sz w:val="19"/>
              </w:rPr>
              <w:t>Purpose</w:t>
            </w:r>
          </w:p>
        </w:tc>
        <w:tc>
          <w:tcPr>
            <w:tcW w:type="dxa" w:w="3137"/>
            <w:shd w:val="clear" w:color="auto" w:fill="FFFFFF"/>
          </w:tcPr>
          <w:p>
            <w:pPr>
              <w:jc w:val="left"/>
            </w:pPr>
            <w:r>
              <w:rPr>
                <w:b w:val="0"/>
                <w:i w:val="0"/>
                <w:color w:val="1E293B"/>
                <w:sz w:val="19"/>
              </w:rPr>
              <w:t>Visual / teaching tool</w:t>
            </w:r>
          </w:p>
        </w:tc>
        <w:tc>
          <w:tcPr>
            <w:tcW w:type="dxa" w:w="3137"/>
            <w:shd w:val="clear" w:color="auto" w:fill="FFFFFF"/>
          </w:tcPr>
          <w:p>
            <w:pPr>
              <w:jc w:val="left"/>
            </w:pPr>
            <w:r>
              <w:rPr>
                <w:b w:val="0"/>
                <w:i w:val="0"/>
                <w:color w:val="1E293B"/>
                <w:sz w:val="19"/>
              </w:rPr>
              <w:t>Production ML system</w:t>
            </w:r>
          </w:p>
        </w:tc>
      </w:tr>
      <w:tr>
        <w:tc>
          <w:tcPr>
            <w:tcW w:type="dxa" w:w="3137"/>
            <w:shd w:val="clear" w:color="auto" w:fill="F5F7FA"/>
          </w:tcPr>
          <w:p>
            <w:pPr>
              <w:jc w:val="left"/>
            </w:pPr>
            <w:r>
              <w:rPr>
                <w:b/>
                <w:i w:val="0"/>
                <w:color w:val="1E293B"/>
                <w:sz w:val="19"/>
              </w:rPr>
              <w:t>How you work</w:t>
            </w:r>
          </w:p>
        </w:tc>
        <w:tc>
          <w:tcPr>
            <w:tcW w:type="dxa" w:w="3137"/>
            <w:shd w:val="clear" w:color="auto" w:fill="F5F7FA"/>
          </w:tcPr>
          <w:p>
            <w:pPr>
              <w:jc w:val="left"/>
            </w:pPr>
            <w:r>
              <w:rPr>
                <w:b w:val="0"/>
                <w:i w:val="0"/>
                <w:color w:val="1E293B"/>
                <w:sz w:val="19"/>
              </w:rPr>
              <w:t>Drag-and-drop GUI widgets</w:t>
            </w:r>
          </w:p>
        </w:tc>
        <w:tc>
          <w:tcPr>
            <w:tcW w:type="dxa" w:w="3137"/>
            <w:shd w:val="clear" w:color="auto" w:fill="F5F7FA"/>
          </w:tcPr>
          <w:p>
            <w:pPr>
              <w:jc w:val="left"/>
            </w:pPr>
            <w:r>
              <w:rPr>
                <w:b w:val="0"/>
                <w:i w:val="0"/>
                <w:color w:val="1E293B"/>
                <w:sz w:val="19"/>
              </w:rPr>
              <w:t>Code in Jupyter notebooks + scripts</w:t>
            </w:r>
          </w:p>
        </w:tc>
      </w:tr>
      <w:tr>
        <w:tc>
          <w:tcPr>
            <w:tcW w:type="dxa" w:w="3137"/>
            <w:shd w:val="clear" w:color="auto" w:fill="FFFFFF"/>
          </w:tcPr>
          <w:p>
            <w:pPr>
              <w:jc w:val="left"/>
            </w:pPr>
            <w:r>
              <w:rPr>
                <w:b/>
                <w:i w:val="0"/>
                <w:color w:val="1E293B"/>
                <w:sz w:val="19"/>
              </w:rPr>
              <w:t>Deployable as API?</w:t>
            </w:r>
          </w:p>
        </w:tc>
        <w:tc>
          <w:tcPr>
            <w:tcW w:type="dxa" w:w="3137"/>
            <w:shd w:val="clear" w:color="auto" w:fill="FFFFFF"/>
          </w:tcPr>
          <w:p>
            <w:pPr>
              <w:jc w:val="left"/>
            </w:pPr>
            <w:r>
              <w:rPr>
                <w:b w:val="0"/>
                <w:i w:val="0"/>
                <w:color w:val="1E293B"/>
                <w:sz w:val="19"/>
              </w:rPr>
              <w:t>No</w:t>
            </w:r>
          </w:p>
        </w:tc>
        <w:tc>
          <w:tcPr>
            <w:tcW w:type="dxa" w:w="3137"/>
            <w:shd w:val="clear" w:color="auto" w:fill="FFFFFF"/>
          </w:tcPr>
          <w:p>
            <w:pPr>
              <w:jc w:val="left"/>
            </w:pPr>
            <w:r>
              <w:rPr>
                <w:b w:val="0"/>
                <w:i w:val="0"/>
                <w:color w:val="1E293B"/>
                <w:sz w:val="19"/>
              </w:rPr>
              <w:t>Yes — load .pkl into FastAPI</w:t>
            </w:r>
          </w:p>
        </w:tc>
      </w:tr>
      <w:tr>
        <w:tc>
          <w:tcPr>
            <w:tcW w:type="dxa" w:w="3137"/>
            <w:shd w:val="clear" w:color="auto" w:fill="F5F7FA"/>
          </w:tcPr>
          <w:p>
            <w:pPr>
              <w:jc w:val="left"/>
            </w:pPr>
            <w:r>
              <w:rPr>
                <w:b/>
                <w:i w:val="0"/>
                <w:color w:val="1E293B"/>
                <w:sz w:val="19"/>
              </w:rPr>
              <w:t>FinnUp integration possible?</w:t>
            </w:r>
          </w:p>
        </w:tc>
        <w:tc>
          <w:tcPr>
            <w:tcW w:type="dxa" w:w="3137"/>
            <w:shd w:val="clear" w:color="auto" w:fill="F5F7FA"/>
          </w:tcPr>
          <w:p>
            <w:pPr>
              <w:jc w:val="left"/>
            </w:pPr>
            <w:r>
              <w:rPr>
                <w:b w:val="0"/>
                <w:i w:val="0"/>
                <w:color w:val="1E293B"/>
                <w:sz w:val="19"/>
              </w:rPr>
              <w:t>No</w:t>
            </w:r>
          </w:p>
        </w:tc>
        <w:tc>
          <w:tcPr>
            <w:tcW w:type="dxa" w:w="3137"/>
            <w:shd w:val="clear" w:color="auto" w:fill="F5F7FA"/>
          </w:tcPr>
          <w:p>
            <w:pPr>
              <w:jc w:val="left"/>
            </w:pPr>
            <w:r>
              <w:rPr>
                <w:b w:val="0"/>
                <w:i w:val="0"/>
                <w:color w:val="1E293B"/>
                <w:sz w:val="19"/>
              </w:rPr>
              <w:t>Yes — core requirement</w:t>
            </w:r>
          </w:p>
        </w:tc>
      </w:tr>
      <w:tr>
        <w:tc>
          <w:tcPr>
            <w:tcW w:type="dxa" w:w="3137"/>
            <w:shd w:val="clear" w:color="auto" w:fill="FFFFFF"/>
          </w:tcPr>
          <w:p>
            <w:pPr>
              <w:jc w:val="left"/>
            </w:pPr>
            <w:r>
              <w:rPr>
                <w:b/>
                <w:i w:val="0"/>
                <w:color w:val="1E293B"/>
                <w:sz w:val="19"/>
              </w:rPr>
              <w:t>SHAP explanations</w:t>
            </w:r>
          </w:p>
        </w:tc>
        <w:tc>
          <w:tcPr>
            <w:tcW w:type="dxa" w:w="3137"/>
            <w:shd w:val="clear" w:color="auto" w:fill="FFFFFF"/>
          </w:tcPr>
          <w:p>
            <w:pPr>
              <w:jc w:val="left"/>
            </w:pPr>
            <w:r>
              <w:rPr>
                <w:b w:val="0"/>
                <w:i w:val="0"/>
                <w:color w:val="1E293B"/>
                <w:sz w:val="19"/>
              </w:rPr>
              <w:t>Limited</w:t>
            </w:r>
          </w:p>
        </w:tc>
        <w:tc>
          <w:tcPr>
            <w:tcW w:type="dxa" w:w="3137"/>
            <w:shd w:val="clear" w:color="auto" w:fill="FFFFFF"/>
          </w:tcPr>
          <w:p>
            <w:pPr>
              <w:jc w:val="left"/>
            </w:pPr>
            <w:r>
              <w:rPr>
                <w:b w:val="0"/>
                <w:i w:val="0"/>
                <w:color w:val="1E293B"/>
                <w:sz w:val="19"/>
              </w:rPr>
              <w:t>Full shap library support</w:t>
            </w:r>
          </w:p>
        </w:tc>
      </w:tr>
      <w:tr>
        <w:tc>
          <w:tcPr>
            <w:tcW w:type="dxa" w:w="3137"/>
            <w:shd w:val="clear" w:color="auto" w:fill="F5F7FA"/>
          </w:tcPr>
          <w:p>
            <w:pPr>
              <w:jc w:val="left"/>
            </w:pPr>
            <w:r>
              <w:rPr>
                <w:b/>
                <w:i w:val="0"/>
                <w:color w:val="1E293B"/>
                <w:sz w:val="19"/>
              </w:rPr>
              <w:t>Lender rule engine</w:t>
            </w:r>
          </w:p>
        </w:tc>
        <w:tc>
          <w:tcPr>
            <w:tcW w:type="dxa" w:w="3137"/>
            <w:shd w:val="clear" w:color="auto" w:fill="F5F7FA"/>
          </w:tcPr>
          <w:p>
            <w:pPr>
              <w:jc w:val="left"/>
            </w:pPr>
            <w:r>
              <w:rPr>
                <w:b w:val="0"/>
                <w:i w:val="0"/>
                <w:color w:val="1E293B"/>
                <w:sz w:val="19"/>
              </w:rPr>
              <w:t>Not possible</w:t>
            </w:r>
          </w:p>
        </w:tc>
        <w:tc>
          <w:tcPr>
            <w:tcW w:type="dxa" w:w="3137"/>
            <w:shd w:val="clear" w:color="auto" w:fill="F5F7FA"/>
          </w:tcPr>
          <w:p>
            <w:pPr>
              <w:jc w:val="left"/>
            </w:pPr>
            <w:r>
              <w:rPr>
                <w:b w:val="0"/>
                <w:i w:val="0"/>
                <w:color w:val="1E293B"/>
                <w:sz w:val="19"/>
              </w:rPr>
              <w:t>Custom Python logic — full control</w:t>
            </w:r>
          </w:p>
        </w:tc>
      </w:tr>
      <w:tr>
        <w:tc>
          <w:tcPr>
            <w:tcW w:type="dxa" w:w="3137"/>
            <w:shd w:val="clear" w:color="auto" w:fill="FFFFFF"/>
          </w:tcPr>
          <w:p>
            <w:pPr>
              <w:jc w:val="left"/>
            </w:pPr>
            <w:r>
              <w:rPr>
                <w:b/>
                <w:i w:val="0"/>
                <w:color w:val="1E293B"/>
                <w:sz w:val="19"/>
              </w:rPr>
              <w:t>Batch scoring 6,483 rows</w:t>
            </w:r>
          </w:p>
        </w:tc>
        <w:tc>
          <w:tcPr>
            <w:tcW w:type="dxa" w:w="3137"/>
            <w:shd w:val="clear" w:color="auto" w:fill="FFFFFF"/>
          </w:tcPr>
          <w:p>
            <w:pPr>
              <w:jc w:val="left"/>
            </w:pPr>
            <w:r>
              <w:rPr>
                <w:b w:val="0"/>
                <w:i w:val="0"/>
                <w:color w:val="1E293B"/>
                <w:sz w:val="19"/>
              </w:rPr>
              <w:t>Slow (widget row-by-row)</w:t>
            </w:r>
          </w:p>
        </w:tc>
        <w:tc>
          <w:tcPr>
            <w:tcW w:type="dxa" w:w="3137"/>
            <w:shd w:val="clear" w:color="auto" w:fill="FFFFFF"/>
          </w:tcPr>
          <w:p>
            <w:pPr>
              <w:jc w:val="left"/>
            </w:pPr>
            <w:r>
              <w:rPr>
                <w:b w:val="0"/>
                <w:i w:val="0"/>
                <w:color w:val="1E293B"/>
                <w:sz w:val="19"/>
              </w:rPr>
              <w:t>Fast — vectorised numpy/pandas</w:t>
            </w:r>
          </w:p>
        </w:tc>
      </w:tr>
      <w:tr>
        <w:tc>
          <w:tcPr>
            <w:tcW w:type="dxa" w:w="3137"/>
            <w:shd w:val="clear" w:color="auto" w:fill="F5F7FA"/>
          </w:tcPr>
          <w:p>
            <w:pPr>
              <w:jc w:val="left"/>
            </w:pPr>
            <w:r>
              <w:rPr>
                <w:b/>
                <w:i w:val="0"/>
                <w:color w:val="1E293B"/>
                <w:sz w:val="19"/>
              </w:rPr>
              <w:t>Version control (Git)</w:t>
            </w:r>
          </w:p>
        </w:tc>
        <w:tc>
          <w:tcPr>
            <w:tcW w:type="dxa" w:w="3137"/>
            <w:shd w:val="clear" w:color="auto" w:fill="F5F7FA"/>
          </w:tcPr>
          <w:p>
            <w:pPr>
              <w:jc w:val="left"/>
            </w:pPr>
            <w:r>
              <w:rPr>
                <w:b w:val="0"/>
                <w:i w:val="0"/>
                <w:color w:val="1E293B"/>
                <w:sz w:val="19"/>
              </w:rPr>
              <w:t>Difficult (.ows binary)</w:t>
            </w:r>
          </w:p>
        </w:tc>
        <w:tc>
          <w:tcPr>
            <w:tcW w:type="dxa" w:w="3137"/>
            <w:shd w:val="clear" w:color="auto" w:fill="F5F7FA"/>
          </w:tcPr>
          <w:p>
            <w:pPr>
              <w:jc w:val="left"/>
            </w:pPr>
            <w:r>
              <w:rPr>
                <w:b w:val="0"/>
                <w:i w:val="0"/>
                <w:color w:val="1E293B"/>
                <w:sz w:val="19"/>
              </w:rPr>
              <w:t>Easy — .py and .pkl files</w:t>
            </w:r>
          </w:p>
        </w:tc>
      </w:tr>
      <w:tr>
        <w:tc>
          <w:tcPr>
            <w:tcW w:type="dxa" w:w="3137"/>
            <w:shd w:val="clear" w:color="auto" w:fill="FFFFFF"/>
          </w:tcPr>
          <w:p>
            <w:pPr>
              <w:jc w:val="left"/>
            </w:pPr>
            <w:r>
              <w:rPr>
                <w:b/>
                <w:i w:val="0"/>
                <w:color w:val="1E293B"/>
                <w:sz w:val="19"/>
              </w:rPr>
              <w:t>IIM submission suitability</w:t>
            </w:r>
          </w:p>
        </w:tc>
        <w:tc>
          <w:tcPr>
            <w:tcW w:type="dxa" w:w="3137"/>
            <w:shd w:val="clear" w:color="auto" w:fill="FFFFFF"/>
          </w:tcPr>
          <w:p>
            <w:pPr>
              <w:jc w:val="left"/>
            </w:pPr>
            <w:r>
              <w:rPr>
                <w:b w:val="0"/>
                <w:i w:val="0"/>
                <w:color w:val="1E293B"/>
                <w:sz w:val="19"/>
              </w:rPr>
              <w:t>Classroom demo only</w:t>
            </w:r>
          </w:p>
        </w:tc>
        <w:tc>
          <w:tcPr>
            <w:tcW w:type="dxa" w:w="3137"/>
            <w:shd w:val="clear" w:color="auto" w:fill="FFFFFF"/>
          </w:tcPr>
          <w:p>
            <w:pPr>
              <w:jc w:val="left"/>
            </w:pPr>
            <w:r>
              <w:rPr>
                <w:b w:val="0"/>
                <w:i w:val="0"/>
                <w:color w:val="1E293B"/>
                <w:sz w:val="19"/>
              </w:rPr>
              <w:t>Professional deliverable + demo</w:t>
            </w:r>
          </w:p>
        </w:tc>
      </w:tr>
    </w:tbl>
    <w:p>
      <w:pPr>
        <w:spacing w:before="0" w:after="80"/>
        <w:jc w:val="left"/>
      </w:pPr>
    </w:p>
    <w:tbl>
      <w:tblPr>
        <w:tblStyle w:val="TableGrid"/>
        <w:tblW w:type="auto" w:w="0"/>
        <w:tblLook w:firstColumn="1" w:firstRow="1" w:lastColumn="0" w:lastRow="0" w:noHBand="0" w:noVBand="1" w:val="04A0"/>
      </w:tblPr>
      <w:tblGrid>
        <w:gridCol w:w="4706"/>
        <w:gridCol w:w="4706"/>
      </w:tblGrid>
      <w:tr>
        <w:tc>
          <w:tcPr>
            <w:tcW w:type="dxa" w:w="9412"/>
            <w:gridSpan w:val="2"/>
            <w:shd w:val="clear" w:color="auto" w:fill="7C3AED"/>
          </w:tcPr>
          <w:p>
            <w:pPr>
              <w:jc w:val="left"/>
            </w:pPr>
            <w:r>
              <w:rPr>
                <w:b/>
                <w:i w:val="0"/>
                <w:color w:val="FFFFFF"/>
                <w:sz w:val="23"/>
              </w:rPr>
              <w:t>Week 3  (21–25 Apr)  —  Feature Engineering</w:t>
              <w:br/>
              <w:t>&amp; Label Creation</w:t>
              <w:br/>
              <w:t>(Phase 2 cont.)</w:t>
            </w:r>
          </w:p>
        </w:tc>
      </w:tr>
      <w:tr>
        <w:tc>
          <w:tcPr>
            <w:tcW w:type="dxa" w:w="4706"/>
            <w:shd w:val="clear" w:color="auto" w:fill="F5F7FA"/>
          </w:tcPr>
          <w:p>
            <w:pPr>
              <w:jc w:val="left"/>
            </w:pPr>
            <w:r>
              <w:rPr>
                <w:b/>
                <w:i w:val="0"/>
                <w:color w:val="1B3A6B"/>
                <w:sz w:val="20"/>
              </w:rPr>
              <w:t>Key Tasks</w:t>
            </w:r>
          </w:p>
        </w:tc>
        <w:tc>
          <w:tcPr>
            <w:tcW w:type="dxa" w:w="4706"/>
            <w:shd w:val="clear" w:color="auto" w:fill="F5F7FA"/>
          </w:tcPr>
          <w:p>
            <w:r>
              <w:rPr>
                <w:rFonts w:ascii="Calibri" w:hAnsi="Calibri"/>
                <w:color w:val="1E293B"/>
                <w:sz w:val="19"/>
              </w:rPr>
              <w:t xml:space="preserve">  ▸  Engineer Loan Request features (product type, amount, history)</w:t>
              <w:br/>
              <w:t xml:space="preserve">  ▸  Engineer Financial KPI features with sector-median imputation</w:t>
              <w:br/>
              <w:t xml:space="preserve">  ▸  Build all derived / cross-sheet features</w:t>
              <w:br/>
              <w:t xml:space="preserve">  ▸  Create final training labels (binary: approved=1 / not approved=0)</w:t>
              <w:br/>
              <w:t xml:space="preserve">  ▸  Train-test split: temporal holdout (last 3 months as test set)</w:t>
              <w:br/>
              <w:t xml:space="preserve">  ▸  Produce feature importance analysis (correlation, mutual information)</w:t>
              <w:br/>
              <w:t xml:space="preserve">  ▸  Feature selection: remove near-zero variance and highly correlated features</w:t>
            </w:r>
          </w:p>
        </w:tc>
      </w:tr>
      <w:tr>
        <w:tc>
          <w:tcPr>
            <w:tcW w:type="dxa" w:w="4706"/>
            <w:shd w:val="clear" w:color="auto" w:fill="FFFFFF"/>
          </w:tcPr>
          <w:p>
            <w:pPr>
              <w:jc w:val="left"/>
            </w:pPr>
            <w:r>
              <w:rPr>
                <w:b/>
                <w:i w:val="0"/>
                <w:color w:val="1B3A6B"/>
                <w:sz w:val="20"/>
              </w:rPr>
              <w:t>Owner(s)</w:t>
            </w:r>
          </w:p>
        </w:tc>
        <w:tc>
          <w:tcPr>
            <w:tcW w:type="dxa" w:w="4706"/>
            <w:shd w:val="clear" w:color="auto" w:fill="FFFFFF"/>
          </w:tcPr>
          <w:p>
            <w:pPr>
              <w:jc w:val="left"/>
            </w:pPr>
            <w:r>
              <w:rPr>
                <w:b w:val="0"/>
                <w:i w:val="0"/>
                <w:color w:val="1E293B"/>
                <w:sz w:val="20"/>
              </w:rPr>
              <w:t>Pranali / Rahul / Deepak</w:t>
            </w:r>
          </w:p>
        </w:tc>
      </w:tr>
      <w:tr>
        <w:tc>
          <w:tcPr>
            <w:tcW w:type="dxa" w:w="4706"/>
            <w:shd w:val="clear" w:color="auto" w:fill="F5F7FA"/>
          </w:tcPr>
          <w:p>
            <w:pPr>
              <w:jc w:val="left"/>
            </w:pPr>
            <w:r>
              <w:rPr>
                <w:b/>
                <w:i w:val="0"/>
                <w:color w:val="0D9488"/>
                <w:sz w:val="20"/>
              </w:rPr>
              <w:t>Deliverable</w:t>
            </w:r>
          </w:p>
        </w:tc>
        <w:tc>
          <w:tcPr>
            <w:tcW w:type="dxa" w:w="4706"/>
            <w:shd w:val="clear" w:color="auto" w:fill="F5F7FA"/>
          </w:tcPr>
          <w:p>
            <w:pPr>
              <w:jc w:val="left"/>
            </w:pPr>
            <w:r>
              <w:rPr>
                <w:b w:val="0"/>
                <w:i w:val="0"/>
                <w:color w:val="1E293B"/>
                <w:sz w:val="20"/>
              </w:rPr>
              <w:t>Final feature matrix; label series; train/test split files; feature importance report</w:t>
            </w:r>
          </w:p>
        </w:tc>
      </w:tr>
      <w:tr>
        <w:tc>
          <w:tcPr>
            <w:tcW w:type="dxa" w:w="4706"/>
            <w:shd w:val="clear" w:color="auto" w:fill="FFFFFF"/>
          </w:tcPr>
          <w:p>
            <w:pPr>
              <w:jc w:val="left"/>
            </w:pPr>
            <w:r>
              <w:rPr>
                <w:b/>
                <w:i w:val="0"/>
                <w:color w:val="EF4444"/>
                <w:sz w:val="20"/>
              </w:rPr>
              <w:t>Risk / Mitigation</w:t>
            </w:r>
          </w:p>
        </w:tc>
        <w:tc>
          <w:tcPr>
            <w:tcW w:type="dxa" w:w="4706"/>
            <w:shd w:val="clear" w:color="auto" w:fill="FFFFFF"/>
          </w:tcPr>
          <w:p>
            <w:pPr>
              <w:jc w:val="left"/>
            </w:pPr>
            <w:r>
              <w:rPr>
                <w:b w:val="0"/>
                <w:i/>
                <w:color w:val="64748B"/>
                <w:sz w:val="20"/>
              </w:rPr>
              <w:t>Label imbalance — if &lt;10% positive class, SMOTE must be applied</w:t>
            </w:r>
          </w:p>
        </w:tc>
      </w:tr>
    </w:tbl>
    <w:p>
      <w:pPr>
        <w:spacing w:before="0" w:after="80"/>
        <w:jc w:val="left"/>
      </w:pPr>
    </w:p>
    <w:tbl>
      <w:tblPr>
        <w:tblStyle w:val="TableGrid"/>
        <w:tblW w:type="auto" w:w="0"/>
        <w:tblLook w:firstColumn="1" w:firstRow="1" w:lastColumn="0" w:lastRow="0" w:noHBand="0" w:noVBand="1" w:val="04A0"/>
      </w:tblPr>
      <w:tblGrid>
        <w:gridCol w:w="4706"/>
        <w:gridCol w:w="4706"/>
      </w:tblGrid>
      <w:tr>
        <w:tc>
          <w:tcPr>
            <w:tcW w:type="dxa" w:w="9412"/>
            <w:gridSpan w:val="2"/>
            <w:shd w:val="clear" w:color="auto" w:fill="7C3AED"/>
          </w:tcPr>
          <w:p>
            <w:pPr>
              <w:jc w:val="left"/>
            </w:pPr>
            <w:r>
              <w:rPr>
                <w:b/>
                <w:i w:val="0"/>
                <w:color w:val="FFFFFF"/>
                <w:sz w:val="23"/>
              </w:rPr>
              <w:t>Week 4  (28 Apr – 2 May)  —  Baseline Model</w:t>
              <w:br/>
              <w:t>&amp; XGBoost Stage 1</w:t>
              <w:br/>
              <w:t>(Phase 3)</w:t>
            </w:r>
          </w:p>
        </w:tc>
      </w:tr>
      <w:tr>
        <w:tc>
          <w:tcPr>
            <w:tcW w:type="dxa" w:w="4706"/>
            <w:shd w:val="clear" w:color="auto" w:fill="F5F7FA"/>
          </w:tcPr>
          <w:p>
            <w:pPr>
              <w:jc w:val="left"/>
            </w:pPr>
            <w:r>
              <w:rPr>
                <w:b/>
                <w:i w:val="0"/>
                <w:color w:val="1B3A6B"/>
                <w:sz w:val="20"/>
              </w:rPr>
              <w:t>Key Tasks</w:t>
            </w:r>
          </w:p>
        </w:tc>
        <w:tc>
          <w:tcPr>
            <w:tcW w:type="dxa" w:w="4706"/>
            <w:shd w:val="clear" w:color="auto" w:fill="F5F7FA"/>
          </w:tcPr>
          <w:p>
            <w:r>
              <w:rPr>
                <w:rFonts w:ascii="Calibri" w:hAnsi="Calibri"/>
                <w:color w:val="1E293B"/>
                <w:sz w:val="19"/>
              </w:rPr>
              <w:t xml:space="preserve">  ▸  Train Logistic Regression baseline on top-10 features — establish AUC-ROC benchmark</w:t>
              <w:br/>
              <w:t xml:space="preserve">  ▸  Train XGBoost Stage 1 classifier (predict P(approval) per borrower-lender pair)</w:t>
              <w:br/>
              <w:t xml:space="preserve">  ▸  Apply class imbalance handling: SMOTE oversampling + scale_pos_weight</w:t>
              <w:br/>
              <w:t xml:space="preserve">  ▸  Hyperparameter tuning via Optuna (5-fold stratified CV)</w:t>
              <w:br/>
              <w:t xml:space="preserve">  ▸  Feature importance analysis via SHAP values</w:t>
              <w:br/>
              <w:t xml:space="preserve">  ▸  Validate: AUC-ROC, Precision, Recall, F1 on holdout test set</w:t>
              <w:br/>
              <w:t xml:space="preserve">  ▸  Fairness check: score distributions by company type, state, sector</w:t>
            </w:r>
          </w:p>
        </w:tc>
      </w:tr>
      <w:tr>
        <w:tc>
          <w:tcPr>
            <w:tcW w:type="dxa" w:w="4706"/>
            <w:shd w:val="clear" w:color="auto" w:fill="FFFFFF"/>
          </w:tcPr>
          <w:p>
            <w:pPr>
              <w:jc w:val="left"/>
            </w:pPr>
            <w:r>
              <w:rPr>
                <w:b/>
                <w:i w:val="0"/>
                <w:color w:val="1B3A6B"/>
                <w:sz w:val="20"/>
              </w:rPr>
              <w:t>Owner(s)</w:t>
            </w:r>
          </w:p>
        </w:tc>
        <w:tc>
          <w:tcPr>
            <w:tcW w:type="dxa" w:w="4706"/>
            <w:shd w:val="clear" w:color="auto" w:fill="FFFFFF"/>
          </w:tcPr>
          <w:p>
            <w:pPr>
              <w:jc w:val="left"/>
            </w:pPr>
            <w:r>
              <w:rPr>
                <w:b w:val="0"/>
                <w:i w:val="0"/>
                <w:color w:val="1E293B"/>
                <w:sz w:val="20"/>
              </w:rPr>
              <w:t>Rahul / Ganesh</w:t>
            </w:r>
          </w:p>
        </w:tc>
      </w:tr>
      <w:tr>
        <w:tc>
          <w:tcPr>
            <w:tcW w:type="dxa" w:w="4706"/>
            <w:shd w:val="clear" w:color="auto" w:fill="F5F7FA"/>
          </w:tcPr>
          <w:p>
            <w:pPr>
              <w:jc w:val="left"/>
            </w:pPr>
            <w:r>
              <w:rPr>
                <w:b/>
                <w:i w:val="0"/>
                <w:color w:val="0D9488"/>
                <w:sz w:val="20"/>
              </w:rPr>
              <w:t>Deliverable</w:t>
            </w:r>
          </w:p>
        </w:tc>
        <w:tc>
          <w:tcPr>
            <w:tcW w:type="dxa" w:w="4706"/>
            <w:shd w:val="clear" w:color="auto" w:fill="F5F7FA"/>
          </w:tcPr>
          <w:p>
            <w:pPr>
              <w:jc w:val="left"/>
            </w:pPr>
            <w:r>
              <w:rPr>
                <w:b w:val="0"/>
                <w:i w:val="0"/>
                <w:color w:val="1E293B"/>
                <w:sz w:val="20"/>
              </w:rPr>
              <w:t>Trained baseline + XGBoost model; AUC-ROC report; SHAP feature importance chart; model comparison table</w:t>
            </w:r>
          </w:p>
        </w:tc>
      </w:tr>
      <w:tr>
        <w:tc>
          <w:tcPr>
            <w:tcW w:type="dxa" w:w="4706"/>
            <w:shd w:val="clear" w:color="auto" w:fill="FFFFFF"/>
          </w:tcPr>
          <w:p>
            <w:pPr>
              <w:jc w:val="left"/>
            </w:pPr>
            <w:r>
              <w:rPr>
                <w:b/>
                <w:i w:val="0"/>
                <w:color w:val="EF4444"/>
                <w:sz w:val="20"/>
              </w:rPr>
              <w:t>Risk / Mitigation</w:t>
            </w:r>
          </w:p>
        </w:tc>
        <w:tc>
          <w:tcPr>
            <w:tcW w:type="dxa" w:w="4706"/>
            <w:shd w:val="clear" w:color="auto" w:fill="FFFFFF"/>
          </w:tcPr>
          <w:p>
            <w:pPr>
              <w:jc w:val="left"/>
            </w:pPr>
            <w:r>
              <w:rPr>
                <w:b w:val="0"/>
                <w:i/>
                <w:color w:val="64748B"/>
                <w:sz w:val="20"/>
              </w:rPr>
              <w:t>AUC &lt; 0.70 would indicate label quality issue — investigate FinnUp Status label reliability</w:t>
            </w:r>
          </w:p>
        </w:tc>
      </w:tr>
    </w:tbl>
    <w:p>
      <w:pPr>
        <w:spacing w:before="0" w:after="80"/>
        <w:jc w:val="left"/>
      </w:pPr>
    </w:p>
    <w:tbl>
      <w:tblPr>
        <w:tblStyle w:val="TableGrid"/>
        <w:tblW w:type="auto" w:w="0"/>
        <w:tblLook w:firstColumn="1" w:firstRow="1" w:lastColumn="0" w:lastRow="0" w:noHBand="0" w:noVBand="1" w:val="04A0"/>
      </w:tblPr>
      <w:tblGrid>
        <w:gridCol w:w="4706"/>
        <w:gridCol w:w="4706"/>
      </w:tblGrid>
      <w:tr>
        <w:tc>
          <w:tcPr>
            <w:tcW w:type="dxa" w:w="9412"/>
            <w:gridSpan w:val="2"/>
            <w:shd w:val="clear" w:color="auto" w:fill="0D9488"/>
          </w:tcPr>
          <w:p>
            <w:pPr>
              <w:jc w:val="left"/>
            </w:pPr>
            <w:r>
              <w:rPr>
                <w:b/>
                <w:i w:val="0"/>
                <w:color w:val="FFFFFF"/>
                <w:sz w:val="23"/>
              </w:rPr>
              <w:t>Week 5  (5–9 May)  —  Stage 2 Lender Ranking</w:t>
              <w:br/>
              <w:t>&amp; Model Card</w:t>
              <w:br/>
              <w:t>(Phase 3 cont.)</w:t>
            </w:r>
          </w:p>
        </w:tc>
      </w:tr>
      <w:tr>
        <w:tc>
          <w:tcPr>
            <w:tcW w:type="dxa" w:w="4706"/>
            <w:shd w:val="clear" w:color="auto" w:fill="F5F7FA"/>
          </w:tcPr>
          <w:p>
            <w:pPr>
              <w:jc w:val="left"/>
            </w:pPr>
            <w:r>
              <w:rPr>
                <w:b/>
                <w:i w:val="0"/>
                <w:color w:val="1B3A6B"/>
                <w:sz w:val="20"/>
              </w:rPr>
              <w:t>Key Tasks</w:t>
            </w:r>
          </w:p>
        </w:tc>
        <w:tc>
          <w:tcPr>
            <w:tcW w:type="dxa" w:w="4706"/>
            <w:shd w:val="clear" w:color="auto" w:fill="F5F7FA"/>
          </w:tcPr>
          <w:p>
            <w:r>
              <w:rPr>
                <w:rFonts w:ascii="Calibri" w:hAnsi="Calibri"/>
                <w:color w:val="1E293B"/>
                <w:sz w:val="19"/>
              </w:rPr>
              <w:t xml:space="preserve">  ▸  Build Stage 2: weighted lender ranking model using Stage 1 output + lender constraints</w:t>
              <w:br/>
              <w:t xml:space="preserve">  ▸  Implement lender policy rule engine (hard eligibility filter before ML)</w:t>
              <w:br/>
              <w:t xml:space="preserve">  ▸  Generate SHAP-based explanations per prediction ('Top 5 reasons')</w:t>
              <w:br/>
              <w:t xml:space="preserve">  ▸  Produce credit score 0–1000 from calibrated probability (Platt scaling)</w:t>
              <w:br/>
              <w:t xml:space="preserve">  ▸  Define risk bands: Poor (&lt;400), Fair (400–600), Good (600–750), Very Good (750–900), Excellent (900+)</w:t>
              <w:br/>
              <w:t xml:space="preserve">  ▸  Write model card: performance metrics, fairness analysis, known limitations</w:t>
              <w:br/>
              <w:t xml:space="preserve">  ▸  Run end-to-end test on 100 sample borrowers</w:t>
            </w:r>
          </w:p>
        </w:tc>
      </w:tr>
      <w:tr>
        <w:tc>
          <w:tcPr>
            <w:tcW w:type="dxa" w:w="4706"/>
            <w:shd w:val="clear" w:color="auto" w:fill="FFFFFF"/>
          </w:tcPr>
          <w:p>
            <w:pPr>
              <w:jc w:val="left"/>
            </w:pPr>
            <w:r>
              <w:rPr>
                <w:b/>
                <w:i w:val="0"/>
                <w:color w:val="1B3A6B"/>
                <w:sz w:val="20"/>
              </w:rPr>
              <w:t>Owner(s)</w:t>
            </w:r>
          </w:p>
        </w:tc>
        <w:tc>
          <w:tcPr>
            <w:tcW w:type="dxa" w:w="4706"/>
            <w:shd w:val="clear" w:color="auto" w:fill="FFFFFF"/>
          </w:tcPr>
          <w:p>
            <w:pPr>
              <w:jc w:val="left"/>
            </w:pPr>
            <w:r>
              <w:rPr>
                <w:b w:val="0"/>
                <w:i w:val="0"/>
                <w:color w:val="1E293B"/>
                <w:sz w:val="20"/>
              </w:rPr>
              <w:t>Rahul / Gopal / Samik</w:t>
            </w:r>
          </w:p>
        </w:tc>
      </w:tr>
      <w:tr>
        <w:tc>
          <w:tcPr>
            <w:tcW w:type="dxa" w:w="4706"/>
            <w:shd w:val="clear" w:color="auto" w:fill="F5F7FA"/>
          </w:tcPr>
          <w:p>
            <w:pPr>
              <w:jc w:val="left"/>
            </w:pPr>
            <w:r>
              <w:rPr>
                <w:b/>
                <w:i w:val="0"/>
                <w:color w:val="0D9488"/>
                <w:sz w:val="20"/>
              </w:rPr>
              <w:t>Deliverable</w:t>
            </w:r>
          </w:p>
        </w:tc>
        <w:tc>
          <w:tcPr>
            <w:tcW w:type="dxa" w:w="4706"/>
            <w:shd w:val="clear" w:color="auto" w:fill="F5F7FA"/>
          </w:tcPr>
          <w:p>
            <w:pPr>
              <w:jc w:val="left"/>
            </w:pPr>
            <w:r>
              <w:rPr>
                <w:b w:val="0"/>
                <w:i w:val="0"/>
                <w:color w:val="1E293B"/>
                <w:sz w:val="20"/>
              </w:rPr>
              <w:t>Stage 2 ranking model; lender rule engine; score band definitions; model card document</w:t>
            </w:r>
          </w:p>
        </w:tc>
      </w:tr>
      <w:tr>
        <w:tc>
          <w:tcPr>
            <w:tcW w:type="dxa" w:w="4706"/>
            <w:shd w:val="clear" w:color="auto" w:fill="FFFFFF"/>
          </w:tcPr>
          <w:p>
            <w:pPr>
              <w:jc w:val="left"/>
            </w:pPr>
            <w:r>
              <w:rPr>
                <w:b/>
                <w:i w:val="0"/>
                <w:color w:val="EF4444"/>
                <w:sz w:val="20"/>
              </w:rPr>
              <w:t>Risk / Mitigation</w:t>
            </w:r>
          </w:p>
        </w:tc>
        <w:tc>
          <w:tcPr>
            <w:tcW w:type="dxa" w:w="4706"/>
            <w:shd w:val="clear" w:color="auto" w:fill="FFFFFF"/>
          </w:tcPr>
          <w:p>
            <w:pPr>
              <w:jc w:val="left"/>
            </w:pPr>
            <w:r>
              <w:rPr>
                <w:b w:val="0"/>
                <w:i/>
                <w:color w:val="64748B"/>
                <w:sz w:val="20"/>
              </w:rPr>
              <w:t>Lender policy data gaps — fall back to single global threshold if per-lender insufficient</w:t>
            </w:r>
          </w:p>
        </w:tc>
      </w:tr>
    </w:tbl>
    <w:p>
      <w:pPr>
        <w:spacing w:before="0" w:after="80"/>
        <w:jc w:val="left"/>
      </w:pPr>
    </w:p>
    <w:tbl>
      <w:tblPr>
        <w:tblStyle w:val="TableGrid"/>
        <w:tblW w:type="auto" w:w="0"/>
        <w:tblLook w:firstColumn="1" w:firstRow="1" w:lastColumn="0" w:lastRow="0" w:noHBand="0" w:noVBand="1" w:val="04A0"/>
      </w:tblPr>
      <w:tblGrid>
        <w:gridCol w:w="4706"/>
        <w:gridCol w:w="4706"/>
      </w:tblGrid>
      <w:tr>
        <w:tc>
          <w:tcPr>
            <w:tcW w:type="dxa" w:w="9412"/>
            <w:gridSpan w:val="2"/>
            <w:shd w:val="clear" w:color="auto" w:fill="0D9488"/>
          </w:tcPr>
          <w:p>
            <w:pPr>
              <w:jc w:val="left"/>
            </w:pPr>
            <w:r>
              <w:rPr>
                <w:b/>
                <w:i w:val="0"/>
                <w:color w:val="FFFFFF"/>
                <w:sz w:val="23"/>
              </w:rPr>
              <w:t>Week 6  (12–16 May)  —  API Development</w:t>
              <w:br/>
              <w:t>(Phase 4)</w:t>
            </w:r>
          </w:p>
        </w:tc>
      </w:tr>
      <w:tr>
        <w:tc>
          <w:tcPr>
            <w:tcW w:type="dxa" w:w="4706"/>
            <w:shd w:val="clear" w:color="auto" w:fill="F5F7FA"/>
          </w:tcPr>
          <w:p>
            <w:pPr>
              <w:jc w:val="left"/>
            </w:pPr>
            <w:r>
              <w:rPr>
                <w:b/>
                <w:i w:val="0"/>
                <w:color w:val="1B3A6B"/>
                <w:sz w:val="20"/>
              </w:rPr>
              <w:t>Key Tasks</w:t>
            </w:r>
          </w:p>
        </w:tc>
        <w:tc>
          <w:tcPr>
            <w:tcW w:type="dxa" w:w="4706"/>
            <w:shd w:val="clear" w:color="auto" w:fill="F5F7FA"/>
          </w:tcPr>
          <w:p>
            <w:r>
              <w:rPr>
                <w:rFonts w:ascii="Calibri" w:hAnsi="Calibri"/>
                <w:color w:val="1E293B"/>
                <w:sz w:val="19"/>
              </w:rPr>
              <w:t xml:space="preserve">  ▸  Build FastAPI REST endpoint: POST /v1/score (single borrower scoring)</w:t>
              <w:br/>
              <w:t xml:space="preserve">  ▸  Build POST /v1/score/batch (bulk CSV/JSON scoring)</w:t>
              <w:br/>
              <w:t xml:space="preserve">  ▸  Add GET /v1/lenders/match (top lenders for a borrower)</w:t>
              <w:br/>
              <w:t xml:space="preserve">  ▸  Implement input validation (Pydantic schemas), API key authentication</w:t>
              <w:br/>
              <w:t xml:space="preserve">  ▸  Containerise with Docker (Dockerfile + docker-compose)</w:t>
              <w:br/>
              <w:t xml:space="preserve">  ▸  Write API documentation (auto-generated OpenAPI / Swagger)</w:t>
              <w:br/>
              <w:t xml:space="preserve">  ▸  Internal testing: verify API returns correct scorecard JSON</w:t>
            </w:r>
          </w:p>
        </w:tc>
      </w:tr>
      <w:tr>
        <w:tc>
          <w:tcPr>
            <w:tcW w:type="dxa" w:w="4706"/>
            <w:shd w:val="clear" w:color="auto" w:fill="FFFFFF"/>
          </w:tcPr>
          <w:p>
            <w:pPr>
              <w:jc w:val="left"/>
            </w:pPr>
            <w:r>
              <w:rPr>
                <w:b/>
                <w:i w:val="0"/>
                <w:color w:val="1B3A6B"/>
                <w:sz w:val="20"/>
              </w:rPr>
              <w:t>Owner(s)</w:t>
            </w:r>
          </w:p>
        </w:tc>
        <w:tc>
          <w:tcPr>
            <w:tcW w:type="dxa" w:w="4706"/>
            <w:shd w:val="clear" w:color="auto" w:fill="FFFFFF"/>
          </w:tcPr>
          <w:p>
            <w:pPr>
              <w:jc w:val="left"/>
            </w:pPr>
            <w:r>
              <w:rPr>
                <w:b w:val="0"/>
                <w:i w:val="0"/>
                <w:color w:val="1E293B"/>
                <w:sz w:val="20"/>
              </w:rPr>
              <w:t>Ganesh / Samik</w:t>
            </w:r>
          </w:p>
        </w:tc>
      </w:tr>
      <w:tr>
        <w:tc>
          <w:tcPr>
            <w:tcW w:type="dxa" w:w="4706"/>
            <w:shd w:val="clear" w:color="auto" w:fill="F5F7FA"/>
          </w:tcPr>
          <w:p>
            <w:pPr>
              <w:jc w:val="left"/>
            </w:pPr>
            <w:r>
              <w:rPr>
                <w:b/>
                <w:i w:val="0"/>
                <w:color w:val="0D9488"/>
                <w:sz w:val="20"/>
              </w:rPr>
              <w:t>Deliverable</w:t>
            </w:r>
          </w:p>
        </w:tc>
        <w:tc>
          <w:tcPr>
            <w:tcW w:type="dxa" w:w="4706"/>
            <w:shd w:val="clear" w:color="auto" w:fill="F5F7FA"/>
          </w:tcPr>
          <w:p>
            <w:pPr>
              <w:jc w:val="left"/>
            </w:pPr>
            <w:r>
              <w:rPr>
                <w:b w:val="0"/>
                <w:i w:val="0"/>
                <w:color w:val="1E293B"/>
                <w:sz w:val="20"/>
              </w:rPr>
              <w:t>Working FastAPI application in Docker; API documentation; test results</w:t>
            </w:r>
          </w:p>
        </w:tc>
      </w:tr>
      <w:tr>
        <w:tc>
          <w:tcPr>
            <w:tcW w:type="dxa" w:w="4706"/>
            <w:shd w:val="clear" w:color="auto" w:fill="FFFFFF"/>
          </w:tcPr>
          <w:p>
            <w:pPr>
              <w:jc w:val="left"/>
            </w:pPr>
            <w:r>
              <w:rPr>
                <w:b/>
                <w:i w:val="0"/>
                <w:color w:val="EF4444"/>
                <w:sz w:val="20"/>
              </w:rPr>
              <w:t>Risk / Mitigation</w:t>
            </w:r>
          </w:p>
        </w:tc>
        <w:tc>
          <w:tcPr>
            <w:tcW w:type="dxa" w:w="4706"/>
            <w:shd w:val="clear" w:color="auto" w:fill="FFFFFF"/>
          </w:tcPr>
          <w:p>
            <w:pPr>
              <w:jc w:val="left"/>
            </w:pPr>
            <w:r>
              <w:rPr>
                <w:b w:val="0"/>
                <w:i/>
                <w:color w:val="64748B"/>
                <w:sz w:val="20"/>
              </w:rPr>
              <w:t>Environment/dependency issues — use virtual environment and pin all versions</w:t>
            </w:r>
          </w:p>
        </w:tc>
      </w:tr>
    </w:tbl>
    <w:p>
      <w:pPr>
        <w:spacing w:before="0" w:after="80"/>
        <w:jc w:val="left"/>
      </w:pPr>
    </w:p>
    <w:tbl>
      <w:tblPr>
        <w:tblStyle w:val="TableGrid"/>
        <w:tblW w:type="auto" w:w="0"/>
        <w:tblLook w:firstColumn="1" w:firstRow="1" w:lastColumn="0" w:lastRow="0" w:noHBand="0" w:noVBand="1" w:val="04A0"/>
      </w:tblPr>
      <w:tblGrid>
        <w:gridCol w:w="4706"/>
        <w:gridCol w:w="4706"/>
      </w:tblGrid>
      <w:tr>
        <w:tc>
          <w:tcPr>
            <w:tcW w:type="dxa" w:w="9412"/>
            <w:gridSpan w:val="2"/>
            <w:shd w:val="clear" w:color="auto" w:fill="F59E0B"/>
          </w:tcPr>
          <w:p>
            <w:pPr>
              <w:jc w:val="left"/>
            </w:pPr>
            <w:r>
              <w:rPr>
                <w:b/>
                <w:i w:val="0"/>
                <w:color w:val="FFFFFF"/>
                <w:sz w:val="23"/>
              </w:rPr>
              <w:t>Week 7  (19–23 May)  —  FinnUp Integration</w:t>
              <w:br/>
              <w:t>&amp; UAT (Phase 4 cont.)</w:t>
            </w:r>
          </w:p>
        </w:tc>
      </w:tr>
      <w:tr>
        <w:tc>
          <w:tcPr>
            <w:tcW w:type="dxa" w:w="4706"/>
            <w:shd w:val="clear" w:color="auto" w:fill="F5F7FA"/>
          </w:tcPr>
          <w:p>
            <w:pPr>
              <w:jc w:val="left"/>
            </w:pPr>
            <w:r>
              <w:rPr>
                <w:b/>
                <w:i w:val="0"/>
                <w:color w:val="1B3A6B"/>
                <w:sz w:val="20"/>
              </w:rPr>
              <w:t>Key Tasks</w:t>
            </w:r>
          </w:p>
        </w:tc>
        <w:tc>
          <w:tcPr>
            <w:tcW w:type="dxa" w:w="4706"/>
            <w:shd w:val="clear" w:color="auto" w:fill="F5F7FA"/>
          </w:tcPr>
          <w:p>
            <w:r>
              <w:rPr>
                <w:rFonts w:ascii="Calibri" w:hAnsi="Calibri"/>
                <w:color w:val="1E293B"/>
                <w:sz w:val="19"/>
              </w:rPr>
              <w:t xml:space="preserve">  ▸  Deploy API to cloud (AWS/Azure — containerised)</w:t>
              <w:br/>
              <w:t xml:space="preserve">  ▸  Configure FinnUp integration: webhook or batch scoring call</w:t>
              <w:br/>
              <w:t xml:space="preserve">  ▸  Run UAT with FinnUp team: score 200 real borrowers, validate output format</w:t>
              <w:br/>
              <w:t xml:space="preserve">  ▸  Scorecard format sign-off: score, risk band, top 5 drivers, eligible lenders list</w:t>
              <w:br/>
              <w:t xml:space="preserve">  ▸  A/B comparison setup: ML-scored leads vs current rule-based leads</w:t>
              <w:br/>
              <w:t xml:space="preserve">  ▸  Fix any issues found during UAT feedback</w:t>
            </w:r>
          </w:p>
        </w:tc>
      </w:tr>
      <w:tr>
        <w:tc>
          <w:tcPr>
            <w:tcW w:type="dxa" w:w="4706"/>
            <w:shd w:val="clear" w:color="auto" w:fill="FFFFFF"/>
          </w:tcPr>
          <w:p>
            <w:pPr>
              <w:jc w:val="left"/>
            </w:pPr>
            <w:r>
              <w:rPr>
                <w:b/>
                <w:i w:val="0"/>
                <w:color w:val="1B3A6B"/>
                <w:sz w:val="20"/>
              </w:rPr>
              <w:t>Owner(s)</w:t>
            </w:r>
          </w:p>
        </w:tc>
        <w:tc>
          <w:tcPr>
            <w:tcW w:type="dxa" w:w="4706"/>
            <w:shd w:val="clear" w:color="auto" w:fill="FFFFFF"/>
          </w:tcPr>
          <w:p>
            <w:pPr>
              <w:jc w:val="left"/>
            </w:pPr>
            <w:r>
              <w:rPr>
                <w:b w:val="0"/>
                <w:i w:val="0"/>
                <w:color w:val="1E293B"/>
                <w:sz w:val="20"/>
              </w:rPr>
              <w:t>Ganesh / Samik / FinnUp Tech</w:t>
            </w:r>
          </w:p>
        </w:tc>
      </w:tr>
      <w:tr>
        <w:tc>
          <w:tcPr>
            <w:tcW w:type="dxa" w:w="4706"/>
            <w:shd w:val="clear" w:color="auto" w:fill="F5F7FA"/>
          </w:tcPr>
          <w:p>
            <w:pPr>
              <w:jc w:val="left"/>
            </w:pPr>
            <w:r>
              <w:rPr>
                <w:b/>
                <w:i w:val="0"/>
                <w:color w:val="0D9488"/>
                <w:sz w:val="20"/>
              </w:rPr>
              <w:t>Deliverable</w:t>
            </w:r>
          </w:p>
        </w:tc>
        <w:tc>
          <w:tcPr>
            <w:tcW w:type="dxa" w:w="4706"/>
            <w:shd w:val="clear" w:color="auto" w:fill="F5F7FA"/>
          </w:tcPr>
          <w:p>
            <w:pPr>
              <w:jc w:val="left"/>
            </w:pPr>
            <w:r>
              <w:rPr>
                <w:b w:val="0"/>
                <w:i w:val="0"/>
                <w:color w:val="1E293B"/>
                <w:sz w:val="20"/>
              </w:rPr>
              <w:t>Live API endpoint; UAT results report; FinnUp integration working</w:t>
            </w:r>
          </w:p>
        </w:tc>
      </w:tr>
      <w:tr>
        <w:tc>
          <w:tcPr>
            <w:tcW w:type="dxa" w:w="4706"/>
            <w:shd w:val="clear" w:color="auto" w:fill="FFFFFF"/>
          </w:tcPr>
          <w:p>
            <w:pPr>
              <w:jc w:val="left"/>
            </w:pPr>
            <w:r>
              <w:rPr>
                <w:b/>
                <w:i w:val="0"/>
                <w:color w:val="EF4444"/>
                <w:sz w:val="20"/>
              </w:rPr>
              <w:t>Risk / Mitigation</w:t>
            </w:r>
          </w:p>
        </w:tc>
        <w:tc>
          <w:tcPr>
            <w:tcW w:type="dxa" w:w="4706"/>
            <w:shd w:val="clear" w:color="auto" w:fill="FFFFFF"/>
          </w:tcPr>
          <w:p>
            <w:pPr>
              <w:jc w:val="left"/>
            </w:pPr>
            <w:r>
              <w:rPr>
                <w:b w:val="0"/>
                <w:i/>
                <w:color w:val="64748B"/>
                <w:sz w:val="20"/>
              </w:rPr>
              <w:t>FinnUp tech team availability for integration — schedule coordination needed immediately</w:t>
            </w:r>
          </w:p>
        </w:tc>
      </w:tr>
    </w:tbl>
    <w:p>
      <w:pPr>
        <w:spacing w:before="0" w:after="80"/>
        <w:jc w:val="left"/>
      </w:pPr>
    </w:p>
    <w:tbl>
      <w:tblPr>
        <w:tblStyle w:val="TableGrid"/>
        <w:tblW w:type="auto" w:w="0"/>
        <w:tblLook w:firstColumn="1" w:firstRow="1" w:lastColumn="0" w:lastRow="0" w:noHBand="0" w:noVBand="1" w:val="04A0"/>
      </w:tblPr>
      <w:tblGrid>
        <w:gridCol w:w="4706"/>
        <w:gridCol w:w="4706"/>
      </w:tblGrid>
      <w:tr>
        <w:tc>
          <w:tcPr>
            <w:tcW w:type="dxa" w:w="9412"/>
            <w:gridSpan w:val="2"/>
            <w:shd w:val="clear" w:color="auto" w:fill="16A34A"/>
          </w:tcPr>
          <w:p>
            <w:pPr>
              <w:jc w:val="left"/>
            </w:pPr>
            <w:r>
              <w:rPr>
                <w:b/>
                <w:i w:val="0"/>
                <w:color w:val="FFFFFF"/>
                <w:sz w:val="23"/>
              </w:rPr>
              <w:t>Week 8  (26–30 May)  —  Final Report &amp;</w:t>
              <w:br/>
              <w:t>IIM Submission</w:t>
              <w:br/>
              <w:t>(Phase 5)</w:t>
            </w:r>
          </w:p>
        </w:tc>
      </w:tr>
      <w:tr>
        <w:tc>
          <w:tcPr>
            <w:tcW w:type="dxa" w:w="4706"/>
            <w:shd w:val="clear" w:color="auto" w:fill="F5F7FA"/>
          </w:tcPr>
          <w:p>
            <w:pPr>
              <w:jc w:val="left"/>
            </w:pPr>
            <w:r>
              <w:rPr>
                <w:b/>
                <w:i w:val="0"/>
                <w:color w:val="1B3A6B"/>
                <w:sz w:val="20"/>
              </w:rPr>
              <w:t>Key Tasks</w:t>
            </w:r>
          </w:p>
        </w:tc>
        <w:tc>
          <w:tcPr>
            <w:tcW w:type="dxa" w:w="4706"/>
            <w:shd w:val="clear" w:color="auto" w:fill="F5F7FA"/>
          </w:tcPr>
          <w:p>
            <w:r>
              <w:rPr>
                <w:rFonts w:ascii="Calibri" w:hAnsi="Calibri"/>
                <w:color w:val="1E293B"/>
                <w:sz w:val="19"/>
              </w:rPr>
              <w:t xml:space="preserve">  ▸  Set up monitoring: score drift alerts, data quality dashboard, API health check</w:t>
              <w:br/>
              <w:t xml:space="preserve">  ▸  Document model refresh cycle (monthly retraining plan)</w:t>
              <w:br/>
              <w:t xml:space="preserve">  ▸  Write final project report for IIM Calcutta (this document, updated with results)</w:t>
              <w:br/>
              <w:t xml:space="preserve">  ▸  Prepare final PowerPoint presentation (updated EDA + model results)</w:t>
              <w:br/>
              <w:t xml:space="preserve">  ▸  Conduct stakeholder demo with FinnUp team</w:t>
              <w:br/>
              <w:t xml:space="preserve">  ▸  Submit all deliverables to IIM Calcutta APAL programme</w:t>
              <w:br/>
              <w:t xml:space="preserve">  ▸  Capture learning reflections for academic submission</w:t>
            </w:r>
          </w:p>
        </w:tc>
      </w:tr>
      <w:tr>
        <w:tc>
          <w:tcPr>
            <w:tcW w:type="dxa" w:w="4706"/>
            <w:shd w:val="clear" w:color="auto" w:fill="FFFFFF"/>
          </w:tcPr>
          <w:p>
            <w:pPr>
              <w:jc w:val="left"/>
            </w:pPr>
            <w:r>
              <w:rPr>
                <w:b/>
                <w:i w:val="0"/>
                <w:color w:val="1B3A6B"/>
                <w:sz w:val="20"/>
              </w:rPr>
              <w:t>Owner(s)</w:t>
            </w:r>
          </w:p>
        </w:tc>
        <w:tc>
          <w:tcPr>
            <w:tcW w:type="dxa" w:w="4706"/>
            <w:shd w:val="clear" w:color="auto" w:fill="FFFFFF"/>
          </w:tcPr>
          <w:p>
            <w:pPr>
              <w:jc w:val="left"/>
            </w:pPr>
            <w:r>
              <w:rPr>
                <w:b w:val="0"/>
                <w:i w:val="0"/>
                <w:color w:val="1E293B"/>
                <w:sz w:val="20"/>
              </w:rPr>
              <w:t>All team members</w:t>
            </w:r>
          </w:p>
        </w:tc>
      </w:tr>
      <w:tr>
        <w:tc>
          <w:tcPr>
            <w:tcW w:type="dxa" w:w="4706"/>
            <w:shd w:val="clear" w:color="auto" w:fill="F5F7FA"/>
          </w:tcPr>
          <w:p>
            <w:pPr>
              <w:jc w:val="left"/>
            </w:pPr>
            <w:r>
              <w:rPr>
                <w:b/>
                <w:i w:val="0"/>
                <w:color w:val="0D9488"/>
                <w:sz w:val="20"/>
              </w:rPr>
              <w:t>Deliverable</w:t>
            </w:r>
          </w:p>
        </w:tc>
        <w:tc>
          <w:tcPr>
            <w:tcW w:type="dxa" w:w="4706"/>
            <w:shd w:val="clear" w:color="auto" w:fill="F5F7FA"/>
          </w:tcPr>
          <w:p>
            <w:pPr>
              <w:jc w:val="left"/>
            </w:pPr>
            <w:r>
              <w:rPr>
                <w:b w:val="0"/>
                <w:i w:val="0"/>
                <w:color w:val="1E293B"/>
                <w:sz w:val="20"/>
              </w:rPr>
              <w:t>Final IIM Calcutta submission package: report, slides, model card, demo recording</w:t>
            </w:r>
          </w:p>
        </w:tc>
      </w:tr>
      <w:tr>
        <w:tc>
          <w:tcPr>
            <w:tcW w:type="dxa" w:w="4706"/>
            <w:shd w:val="clear" w:color="auto" w:fill="FFFFFF"/>
          </w:tcPr>
          <w:p>
            <w:pPr>
              <w:jc w:val="left"/>
            </w:pPr>
            <w:r>
              <w:rPr>
                <w:b/>
                <w:i w:val="0"/>
                <w:color w:val="EF4444"/>
                <w:sz w:val="20"/>
              </w:rPr>
              <w:t>Risk / Mitigation</w:t>
            </w:r>
          </w:p>
        </w:tc>
        <w:tc>
          <w:tcPr>
            <w:tcW w:type="dxa" w:w="4706"/>
            <w:shd w:val="clear" w:color="auto" w:fill="FFFFFF"/>
          </w:tcPr>
          <w:p>
            <w:pPr>
              <w:jc w:val="left"/>
            </w:pPr>
            <w:r>
              <w:rPr>
                <w:b w:val="0"/>
                <w:i/>
                <w:color w:val="64748B"/>
                <w:sz w:val="20"/>
              </w:rPr>
              <w:t>Tight deadline — week 8 is non-negotiable. Prioritise deliverables over perfection</w:t>
            </w:r>
          </w:p>
        </w:tc>
      </w:tr>
    </w:tbl>
    <w:p>
      <w:pPr>
        <w:spacing w:before="0" w:after="80"/>
        <w:jc w:val="left"/>
      </w:pPr>
    </w:p>
    <w:p>
      <w:pPr>
        <w:spacing w:before="40" w:after="40"/>
        <w:pBdr>
          <w:bottom w:val="single" w:sz="6" w:space="1" w:color="0D9488"/>
        </w:pBdr>
      </w:pPr>
    </w:p>
    <w:p>
      <w:r>
        <w:br w:type="page"/>
      </w:r>
    </w:p>
    <w:tbl>
      <w:tblPr>
        <w:tblW w:type="auto" w:w="0"/>
        <w:jc w:val="left"/>
        <w:tblLook w:firstColumn="1" w:firstRow="1" w:lastColumn="0" w:lastRow="0" w:noHBand="0" w:noVBand="1" w:val="04A0"/>
      </w:tblPr>
      <w:tblGrid>
        <w:gridCol w:w="9412"/>
      </w:tblGrid>
      <w:tr>
        <w:tc>
          <w:tcPr>
            <w:tcW w:type="dxa" w:w="9072"/>
            <w:shd w:val="clear" w:color="auto" w:fill="0D9488"/>
          </w:tcPr>
          <w:p>
            <w:pPr>
              <w:spacing w:before="80" w:after="80"/>
              <w:jc w:val="left"/>
            </w:pPr>
            <w:r>
              <w:rPr>
                <w:b/>
                <w:i w:val="0"/>
                <w:color w:val="FFFFFF"/>
                <w:sz w:val="26"/>
              </w:rPr>
              <w:t>SECTION 5 — TIMELINE SUMMARY AT A GLANCE</w:t>
            </w:r>
          </w:p>
        </w:tc>
      </w:tr>
    </w:tbl>
    <w:p/>
    <w:tbl>
      <w:tblPr>
        <w:tblStyle w:val="TableGrid"/>
        <w:tblW w:type="auto" w:w="0"/>
        <w:jc w:val="left"/>
        <w:tblLook w:firstColumn="1" w:firstRow="1" w:lastColumn="0" w:lastRow="0" w:noHBand="0" w:noVBand="1" w:val="04A0"/>
      </w:tblPr>
      <w:tblGrid>
        <w:gridCol w:w="1882"/>
        <w:gridCol w:w="1882"/>
        <w:gridCol w:w="1882"/>
        <w:gridCol w:w="1882"/>
        <w:gridCol w:w="1882"/>
      </w:tblGrid>
      <w:tr>
        <w:tc>
          <w:tcPr>
            <w:tcW w:type="dxa" w:w="1882"/>
            <w:shd w:val="clear" w:color="auto" w:fill="1B3A6B"/>
          </w:tcPr>
          <w:p>
            <w:pPr>
              <w:jc w:val="center"/>
            </w:pPr>
            <w:r>
              <w:rPr>
                <w:b/>
                <w:i w:val="0"/>
                <w:color w:val="FFFFFF"/>
                <w:sz w:val="21"/>
              </w:rPr>
              <w:t>Week</w:t>
            </w:r>
          </w:p>
        </w:tc>
        <w:tc>
          <w:tcPr>
            <w:tcW w:type="dxa" w:w="1882"/>
            <w:shd w:val="clear" w:color="auto" w:fill="1B3A6B"/>
          </w:tcPr>
          <w:p>
            <w:pPr>
              <w:jc w:val="center"/>
            </w:pPr>
            <w:r>
              <w:rPr>
                <w:b/>
                <w:i w:val="0"/>
                <w:color w:val="FFFFFF"/>
                <w:sz w:val="21"/>
              </w:rPr>
              <w:t>Dates</w:t>
            </w:r>
          </w:p>
        </w:tc>
        <w:tc>
          <w:tcPr>
            <w:tcW w:type="dxa" w:w="1882"/>
            <w:shd w:val="clear" w:color="auto" w:fill="1B3A6B"/>
          </w:tcPr>
          <w:p>
            <w:pPr>
              <w:jc w:val="center"/>
            </w:pPr>
            <w:r>
              <w:rPr>
                <w:b/>
                <w:i w:val="0"/>
                <w:color w:val="FFFFFF"/>
                <w:sz w:val="21"/>
              </w:rPr>
              <w:t>Phase</w:t>
            </w:r>
          </w:p>
        </w:tc>
        <w:tc>
          <w:tcPr>
            <w:tcW w:type="dxa" w:w="1882"/>
            <w:shd w:val="clear" w:color="auto" w:fill="1B3A6B"/>
          </w:tcPr>
          <w:p>
            <w:pPr>
              <w:jc w:val="center"/>
            </w:pPr>
            <w:r>
              <w:rPr>
                <w:b/>
                <w:i w:val="0"/>
                <w:color w:val="FFFFFF"/>
                <w:sz w:val="21"/>
              </w:rPr>
              <w:t>Key Output</w:t>
            </w:r>
          </w:p>
        </w:tc>
        <w:tc>
          <w:tcPr>
            <w:tcW w:type="dxa" w:w="1882"/>
            <w:shd w:val="clear" w:color="auto" w:fill="1B3A6B"/>
          </w:tcPr>
          <w:p>
            <w:pPr>
              <w:jc w:val="center"/>
            </w:pPr>
            <w:r>
              <w:rPr>
                <w:b/>
                <w:i w:val="0"/>
                <w:color w:val="FFFFFF"/>
                <w:sz w:val="21"/>
              </w:rPr>
              <w:t>Status</w:t>
            </w:r>
          </w:p>
        </w:tc>
      </w:tr>
      <w:tr>
        <w:tc>
          <w:tcPr>
            <w:tcW w:type="dxa" w:w="1882"/>
            <w:shd w:val="clear" w:color="auto" w:fill="F5F7FA"/>
          </w:tcPr>
          <w:p>
            <w:pPr>
              <w:jc w:val="left"/>
            </w:pPr>
            <w:r>
              <w:rPr>
                <w:b w:val="0"/>
                <w:i w:val="0"/>
                <w:color w:val="1E293B"/>
                <w:sz w:val="19"/>
              </w:rPr>
              <w:t>Jan–Mar 2026</w:t>
            </w:r>
          </w:p>
        </w:tc>
        <w:tc>
          <w:tcPr>
            <w:tcW w:type="dxa" w:w="1882"/>
            <w:shd w:val="clear" w:color="auto" w:fill="F5F7FA"/>
          </w:tcPr>
          <w:p>
            <w:pPr>
              <w:jc w:val="left"/>
            </w:pPr>
            <w:r>
              <w:rPr>
                <w:b w:val="0"/>
                <w:i w:val="0"/>
                <w:color w:val="1E293B"/>
                <w:sz w:val="19"/>
              </w:rPr>
              <w:t>Jan–Mar</w:t>
            </w:r>
          </w:p>
        </w:tc>
        <w:tc>
          <w:tcPr>
            <w:tcW w:type="dxa" w:w="1882"/>
            <w:shd w:val="clear" w:color="auto" w:fill="F5F7FA"/>
          </w:tcPr>
          <w:p>
            <w:pPr>
              <w:jc w:val="left"/>
            </w:pPr>
            <w:r>
              <w:rPr>
                <w:b w:val="0"/>
                <w:i w:val="0"/>
                <w:color w:val="1E293B"/>
                <w:sz w:val="19"/>
              </w:rPr>
              <w:t>Phase 0–1: Problem Definition + EDA</w:t>
            </w:r>
          </w:p>
        </w:tc>
        <w:tc>
          <w:tcPr>
            <w:tcW w:type="dxa" w:w="1882"/>
            <w:shd w:val="clear" w:color="auto" w:fill="F5F7FA"/>
          </w:tcPr>
          <w:p>
            <w:pPr>
              <w:jc w:val="left"/>
            </w:pPr>
            <w:r>
              <w:rPr>
                <w:b w:val="0"/>
                <w:i w:val="0"/>
                <w:color w:val="1E293B"/>
                <w:sz w:val="19"/>
              </w:rPr>
              <w:t>EDA report, feature audit, label mapping</w:t>
            </w:r>
          </w:p>
        </w:tc>
        <w:tc>
          <w:tcPr>
            <w:tcW w:type="dxa" w:w="1882"/>
            <w:shd w:val="clear" w:color="auto" w:fill="F5F7FA"/>
          </w:tcPr>
          <w:p>
            <w:pPr>
              <w:jc w:val="left"/>
            </w:pPr>
            <w:r>
              <w:rPr>
                <w:b/>
                <w:i w:val="0"/>
                <w:color w:val="16A34A"/>
                <w:sz w:val="19"/>
              </w:rPr>
              <w:t>✓ COMPLETE</w:t>
            </w:r>
          </w:p>
        </w:tc>
      </w:tr>
      <w:tr>
        <w:tc>
          <w:tcPr>
            <w:tcW w:type="dxa" w:w="1882"/>
            <w:shd w:val="clear" w:color="auto" w:fill="FFFFFF"/>
          </w:tcPr>
          <w:p>
            <w:pPr>
              <w:jc w:val="left"/>
            </w:pPr>
            <w:r>
              <w:rPr>
                <w:b w:val="0"/>
                <w:i w:val="0"/>
                <w:color w:val="1E293B"/>
                <w:sz w:val="19"/>
              </w:rPr>
              <w:t>Week 1  (7–11 Apr)</w:t>
            </w:r>
          </w:p>
        </w:tc>
        <w:tc>
          <w:tcPr>
            <w:tcW w:type="dxa" w:w="1882"/>
            <w:shd w:val="clear" w:color="auto" w:fill="FFFFFF"/>
          </w:tcPr>
          <w:p>
            <w:pPr>
              <w:jc w:val="left"/>
            </w:pPr>
            <w:r>
              <w:rPr>
                <w:b w:val="0"/>
                <w:i w:val="0"/>
                <w:color w:val="1E293B"/>
                <w:sz w:val="19"/>
              </w:rPr>
              <w:t>7–11 Apr</w:t>
            </w:r>
          </w:p>
        </w:tc>
        <w:tc>
          <w:tcPr>
            <w:tcW w:type="dxa" w:w="1882"/>
            <w:shd w:val="clear" w:color="auto" w:fill="FFFFFF"/>
          </w:tcPr>
          <w:p>
            <w:pPr>
              <w:jc w:val="left"/>
            </w:pPr>
            <w:r>
              <w:rPr>
                <w:b w:val="0"/>
                <w:i w:val="0"/>
                <w:color w:val="1E293B"/>
                <w:sz w:val="19"/>
              </w:rPr>
              <w:t>Phase 2 Start: Labels + Data Augment</w:t>
            </w:r>
          </w:p>
        </w:tc>
        <w:tc>
          <w:tcPr>
            <w:tcW w:type="dxa" w:w="1882"/>
            <w:shd w:val="clear" w:color="auto" w:fill="FFFFFF"/>
          </w:tcPr>
          <w:p>
            <w:pPr>
              <w:jc w:val="left"/>
            </w:pPr>
            <w:r>
              <w:rPr>
                <w:b w:val="0"/>
                <w:i w:val="0"/>
                <w:color w:val="1E293B"/>
                <w:sz w:val="19"/>
              </w:rPr>
              <w:t>Outcome labels; expanded dataset</w:t>
            </w:r>
          </w:p>
        </w:tc>
        <w:tc>
          <w:tcPr>
            <w:tcW w:type="dxa" w:w="1882"/>
            <w:shd w:val="clear" w:color="auto" w:fill="FFFFFF"/>
          </w:tcPr>
          <w:p>
            <w:pPr>
              <w:jc w:val="left"/>
            </w:pPr>
            <w:r>
              <w:rPr>
                <w:b/>
                <w:i w:val="0"/>
                <w:color w:val="F59E0B"/>
                <w:sz w:val="19"/>
              </w:rPr>
              <w:t>⏳ IMMEDIATE</w:t>
            </w:r>
          </w:p>
        </w:tc>
      </w:tr>
      <w:tr>
        <w:tc>
          <w:tcPr>
            <w:tcW w:type="dxa" w:w="1882"/>
            <w:shd w:val="clear" w:color="auto" w:fill="F5F7FA"/>
          </w:tcPr>
          <w:p>
            <w:pPr>
              <w:jc w:val="left"/>
            </w:pPr>
            <w:r>
              <w:rPr>
                <w:b w:val="0"/>
                <w:i w:val="0"/>
                <w:color w:val="1E293B"/>
                <w:sz w:val="19"/>
              </w:rPr>
              <w:t>Week 2  (14–18 Apr)</w:t>
            </w:r>
          </w:p>
        </w:tc>
        <w:tc>
          <w:tcPr>
            <w:tcW w:type="dxa" w:w="1882"/>
            <w:shd w:val="clear" w:color="auto" w:fill="F5F7FA"/>
          </w:tcPr>
          <w:p>
            <w:pPr>
              <w:jc w:val="left"/>
            </w:pPr>
            <w:r>
              <w:rPr>
                <w:b w:val="0"/>
                <w:i w:val="0"/>
                <w:color w:val="1E293B"/>
                <w:sz w:val="19"/>
              </w:rPr>
              <w:t>14–18 Apr</w:t>
            </w:r>
          </w:p>
        </w:tc>
        <w:tc>
          <w:tcPr>
            <w:tcW w:type="dxa" w:w="1882"/>
            <w:shd w:val="clear" w:color="auto" w:fill="F5F7FA"/>
          </w:tcPr>
          <w:p>
            <w:pPr>
              <w:jc w:val="left"/>
            </w:pPr>
            <w:r>
              <w:rPr>
                <w:b w:val="0"/>
                <w:i w:val="0"/>
                <w:color w:val="1E293B"/>
                <w:sz w:val="19"/>
              </w:rPr>
              <w:t>Phase 2: Feature Engineering</w:t>
            </w:r>
          </w:p>
        </w:tc>
        <w:tc>
          <w:tcPr>
            <w:tcW w:type="dxa" w:w="1882"/>
            <w:shd w:val="clear" w:color="auto" w:fill="F5F7FA"/>
          </w:tcPr>
          <w:p>
            <w:pPr>
              <w:jc w:val="left"/>
            </w:pPr>
            <w:r>
              <w:rPr>
                <w:b w:val="0"/>
                <w:i w:val="0"/>
                <w:color w:val="1E293B"/>
                <w:sz w:val="19"/>
              </w:rPr>
              <w:t>50+ feature matrix with imputation</w:t>
            </w:r>
          </w:p>
        </w:tc>
        <w:tc>
          <w:tcPr>
            <w:tcW w:type="dxa" w:w="1882"/>
            <w:shd w:val="clear" w:color="auto" w:fill="F5F7FA"/>
          </w:tcPr>
          <w:p>
            <w:pPr>
              <w:jc w:val="left"/>
            </w:pPr>
            <w:r>
              <w:rPr>
                <w:b/>
                <w:i w:val="0"/>
                <w:color w:val="64748B"/>
                <w:sz w:val="19"/>
              </w:rPr>
              <w:t>NOT STARTED</w:t>
            </w:r>
          </w:p>
        </w:tc>
      </w:tr>
      <w:tr>
        <w:tc>
          <w:tcPr>
            <w:tcW w:type="dxa" w:w="1882"/>
            <w:shd w:val="clear" w:color="auto" w:fill="FFFFFF"/>
          </w:tcPr>
          <w:p>
            <w:pPr>
              <w:jc w:val="left"/>
            </w:pPr>
            <w:r>
              <w:rPr>
                <w:b w:val="0"/>
                <w:i w:val="0"/>
                <w:color w:val="1E293B"/>
                <w:sz w:val="19"/>
              </w:rPr>
              <w:t>Week 3  (21–25 Apr)</w:t>
            </w:r>
          </w:p>
        </w:tc>
        <w:tc>
          <w:tcPr>
            <w:tcW w:type="dxa" w:w="1882"/>
            <w:shd w:val="clear" w:color="auto" w:fill="FFFFFF"/>
          </w:tcPr>
          <w:p>
            <w:pPr>
              <w:jc w:val="left"/>
            </w:pPr>
            <w:r>
              <w:rPr>
                <w:b w:val="0"/>
                <w:i w:val="0"/>
                <w:color w:val="1E293B"/>
                <w:sz w:val="19"/>
              </w:rPr>
              <w:t>21–25 Apr</w:t>
            </w:r>
          </w:p>
        </w:tc>
        <w:tc>
          <w:tcPr>
            <w:tcW w:type="dxa" w:w="1882"/>
            <w:shd w:val="clear" w:color="auto" w:fill="FFFFFF"/>
          </w:tcPr>
          <w:p>
            <w:pPr>
              <w:jc w:val="left"/>
            </w:pPr>
            <w:r>
              <w:rPr>
                <w:b w:val="0"/>
                <w:i w:val="0"/>
                <w:color w:val="1E293B"/>
                <w:sz w:val="19"/>
              </w:rPr>
              <w:t>Phase 2: Labels + Train-Test Split</w:t>
            </w:r>
          </w:p>
        </w:tc>
        <w:tc>
          <w:tcPr>
            <w:tcW w:type="dxa" w:w="1882"/>
            <w:shd w:val="clear" w:color="auto" w:fill="FFFFFF"/>
          </w:tcPr>
          <w:p>
            <w:pPr>
              <w:jc w:val="left"/>
            </w:pPr>
            <w:r>
              <w:rPr>
                <w:b w:val="0"/>
                <w:i w:val="0"/>
                <w:color w:val="1E293B"/>
                <w:sz w:val="19"/>
              </w:rPr>
              <w:t>Training-ready dataset; label series</w:t>
            </w:r>
          </w:p>
        </w:tc>
        <w:tc>
          <w:tcPr>
            <w:tcW w:type="dxa" w:w="1882"/>
            <w:shd w:val="clear" w:color="auto" w:fill="FFFFFF"/>
          </w:tcPr>
          <w:p>
            <w:pPr>
              <w:jc w:val="left"/>
            </w:pPr>
            <w:r>
              <w:rPr>
                <w:b/>
                <w:i w:val="0"/>
                <w:color w:val="64748B"/>
                <w:sz w:val="19"/>
              </w:rPr>
              <w:t>NOT STARTED</w:t>
            </w:r>
          </w:p>
        </w:tc>
      </w:tr>
      <w:tr>
        <w:tc>
          <w:tcPr>
            <w:tcW w:type="dxa" w:w="1882"/>
            <w:shd w:val="clear" w:color="auto" w:fill="F5F7FA"/>
          </w:tcPr>
          <w:p>
            <w:pPr>
              <w:jc w:val="left"/>
            </w:pPr>
            <w:r>
              <w:rPr>
                <w:b w:val="0"/>
                <w:i w:val="0"/>
                <w:color w:val="1E293B"/>
                <w:sz w:val="19"/>
              </w:rPr>
              <w:t>Week 4  (28 Apr – 2 May)</w:t>
            </w:r>
          </w:p>
        </w:tc>
        <w:tc>
          <w:tcPr>
            <w:tcW w:type="dxa" w:w="1882"/>
            <w:shd w:val="clear" w:color="auto" w:fill="F5F7FA"/>
          </w:tcPr>
          <w:p>
            <w:pPr>
              <w:jc w:val="left"/>
            </w:pPr>
            <w:r>
              <w:rPr>
                <w:b w:val="0"/>
                <w:i w:val="0"/>
                <w:color w:val="1E293B"/>
                <w:sz w:val="19"/>
              </w:rPr>
              <w:t>28 Apr</w:t>
            </w:r>
          </w:p>
        </w:tc>
        <w:tc>
          <w:tcPr>
            <w:tcW w:type="dxa" w:w="1882"/>
            <w:shd w:val="clear" w:color="auto" w:fill="F5F7FA"/>
          </w:tcPr>
          <w:p>
            <w:pPr>
              <w:jc w:val="left"/>
            </w:pPr>
            <w:r>
              <w:rPr>
                <w:b w:val="0"/>
                <w:i w:val="0"/>
                <w:color w:val="1E293B"/>
                <w:sz w:val="19"/>
              </w:rPr>
              <w:t>Phase 3: Baseline + XGBoost Stage 1</w:t>
            </w:r>
          </w:p>
        </w:tc>
        <w:tc>
          <w:tcPr>
            <w:tcW w:type="dxa" w:w="1882"/>
            <w:shd w:val="clear" w:color="auto" w:fill="F5F7FA"/>
          </w:tcPr>
          <w:p>
            <w:pPr>
              <w:jc w:val="left"/>
            </w:pPr>
            <w:r>
              <w:rPr>
                <w:b w:val="0"/>
                <w:i w:val="0"/>
                <w:color w:val="1E293B"/>
                <w:sz w:val="19"/>
              </w:rPr>
              <w:t>Trained model; AUC-ROC benchmark; SHAP</w:t>
            </w:r>
          </w:p>
        </w:tc>
        <w:tc>
          <w:tcPr>
            <w:tcW w:type="dxa" w:w="1882"/>
            <w:shd w:val="clear" w:color="auto" w:fill="F5F7FA"/>
          </w:tcPr>
          <w:p>
            <w:pPr>
              <w:jc w:val="left"/>
            </w:pPr>
            <w:r>
              <w:rPr>
                <w:b/>
                <w:i w:val="0"/>
                <w:color w:val="64748B"/>
                <w:sz w:val="19"/>
              </w:rPr>
              <w:t>NOT STARTED</w:t>
            </w:r>
          </w:p>
        </w:tc>
      </w:tr>
      <w:tr>
        <w:tc>
          <w:tcPr>
            <w:tcW w:type="dxa" w:w="1882"/>
            <w:shd w:val="clear" w:color="auto" w:fill="FFFFFF"/>
          </w:tcPr>
          <w:p>
            <w:pPr>
              <w:jc w:val="left"/>
            </w:pPr>
            <w:r>
              <w:rPr>
                <w:b w:val="0"/>
                <w:i w:val="0"/>
                <w:color w:val="1E293B"/>
                <w:sz w:val="19"/>
              </w:rPr>
              <w:t>Week 5  (5–9 May)</w:t>
            </w:r>
          </w:p>
        </w:tc>
        <w:tc>
          <w:tcPr>
            <w:tcW w:type="dxa" w:w="1882"/>
            <w:shd w:val="clear" w:color="auto" w:fill="FFFFFF"/>
          </w:tcPr>
          <w:p>
            <w:pPr>
              <w:jc w:val="left"/>
            </w:pPr>
            <w:r>
              <w:rPr>
                <w:b w:val="0"/>
                <w:i w:val="0"/>
                <w:color w:val="1E293B"/>
                <w:sz w:val="19"/>
              </w:rPr>
              <w:t>5–9 May</w:t>
            </w:r>
          </w:p>
        </w:tc>
        <w:tc>
          <w:tcPr>
            <w:tcW w:type="dxa" w:w="1882"/>
            <w:shd w:val="clear" w:color="auto" w:fill="FFFFFF"/>
          </w:tcPr>
          <w:p>
            <w:pPr>
              <w:jc w:val="left"/>
            </w:pPr>
            <w:r>
              <w:rPr>
                <w:b w:val="0"/>
                <w:i w:val="0"/>
                <w:color w:val="1E293B"/>
                <w:sz w:val="19"/>
              </w:rPr>
              <w:t>Phase 3: Stage 2 Ranking + Model Card</w:t>
            </w:r>
          </w:p>
        </w:tc>
        <w:tc>
          <w:tcPr>
            <w:tcW w:type="dxa" w:w="1882"/>
            <w:shd w:val="clear" w:color="auto" w:fill="FFFFFF"/>
          </w:tcPr>
          <w:p>
            <w:pPr>
              <w:jc w:val="left"/>
            </w:pPr>
            <w:r>
              <w:rPr>
                <w:b w:val="0"/>
                <w:i w:val="0"/>
                <w:color w:val="1E293B"/>
                <w:sz w:val="19"/>
              </w:rPr>
              <w:t>Ranked lender output; model card</w:t>
            </w:r>
          </w:p>
        </w:tc>
        <w:tc>
          <w:tcPr>
            <w:tcW w:type="dxa" w:w="1882"/>
            <w:shd w:val="clear" w:color="auto" w:fill="FFFFFF"/>
          </w:tcPr>
          <w:p>
            <w:pPr>
              <w:jc w:val="left"/>
            </w:pPr>
            <w:r>
              <w:rPr>
                <w:b/>
                <w:i w:val="0"/>
                <w:color w:val="64748B"/>
                <w:sz w:val="19"/>
              </w:rPr>
              <w:t>NOT STARTED</w:t>
            </w:r>
          </w:p>
        </w:tc>
      </w:tr>
      <w:tr>
        <w:tc>
          <w:tcPr>
            <w:tcW w:type="dxa" w:w="1882"/>
            <w:shd w:val="clear" w:color="auto" w:fill="F5F7FA"/>
          </w:tcPr>
          <w:p>
            <w:pPr>
              <w:jc w:val="left"/>
            </w:pPr>
            <w:r>
              <w:rPr>
                <w:b w:val="0"/>
                <w:i w:val="0"/>
                <w:color w:val="1E293B"/>
                <w:sz w:val="19"/>
              </w:rPr>
              <w:t>Week 6  (12–16 May)</w:t>
            </w:r>
          </w:p>
        </w:tc>
        <w:tc>
          <w:tcPr>
            <w:tcW w:type="dxa" w:w="1882"/>
            <w:shd w:val="clear" w:color="auto" w:fill="F5F7FA"/>
          </w:tcPr>
          <w:p>
            <w:pPr>
              <w:jc w:val="left"/>
            </w:pPr>
            <w:r>
              <w:rPr>
                <w:b w:val="0"/>
                <w:i w:val="0"/>
                <w:color w:val="1E293B"/>
                <w:sz w:val="19"/>
              </w:rPr>
              <w:t>12–16 May</w:t>
            </w:r>
          </w:p>
        </w:tc>
        <w:tc>
          <w:tcPr>
            <w:tcW w:type="dxa" w:w="1882"/>
            <w:shd w:val="clear" w:color="auto" w:fill="F5F7FA"/>
          </w:tcPr>
          <w:p>
            <w:pPr>
              <w:jc w:val="left"/>
            </w:pPr>
            <w:r>
              <w:rPr>
                <w:b w:val="0"/>
                <w:i w:val="0"/>
                <w:color w:val="1E293B"/>
                <w:sz w:val="19"/>
              </w:rPr>
              <w:t>Phase 4: REST API</w:t>
            </w:r>
          </w:p>
        </w:tc>
        <w:tc>
          <w:tcPr>
            <w:tcW w:type="dxa" w:w="1882"/>
            <w:shd w:val="clear" w:color="auto" w:fill="F5F7FA"/>
          </w:tcPr>
          <w:p>
            <w:pPr>
              <w:jc w:val="left"/>
            </w:pPr>
            <w:r>
              <w:rPr>
                <w:b w:val="0"/>
                <w:i w:val="0"/>
                <w:color w:val="1E293B"/>
                <w:sz w:val="19"/>
              </w:rPr>
              <w:t>Live FastAPI scoring endpoint</w:t>
            </w:r>
          </w:p>
        </w:tc>
        <w:tc>
          <w:tcPr>
            <w:tcW w:type="dxa" w:w="1882"/>
            <w:shd w:val="clear" w:color="auto" w:fill="F5F7FA"/>
          </w:tcPr>
          <w:p>
            <w:pPr>
              <w:jc w:val="left"/>
            </w:pPr>
            <w:r>
              <w:rPr>
                <w:b/>
                <w:i w:val="0"/>
                <w:color w:val="64748B"/>
                <w:sz w:val="19"/>
              </w:rPr>
              <w:t>NOT STARTED</w:t>
            </w:r>
          </w:p>
        </w:tc>
      </w:tr>
      <w:tr>
        <w:tc>
          <w:tcPr>
            <w:tcW w:type="dxa" w:w="1882"/>
            <w:shd w:val="clear" w:color="auto" w:fill="FFFFFF"/>
          </w:tcPr>
          <w:p>
            <w:pPr>
              <w:jc w:val="left"/>
            </w:pPr>
            <w:r>
              <w:rPr>
                <w:b w:val="0"/>
                <w:i w:val="0"/>
                <w:color w:val="1E293B"/>
                <w:sz w:val="19"/>
              </w:rPr>
              <w:t>Week 7–8  (19–30 May)</w:t>
            </w:r>
          </w:p>
        </w:tc>
        <w:tc>
          <w:tcPr>
            <w:tcW w:type="dxa" w:w="1882"/>
            <w:shd w:val="clear" w:color="auto" w:fill="FFFFFF"/>
          </w:tcPr>
          <w:p>
            <w:pPr>
              <w:jc w:val="left"/>
            </w:pPr>
            <w:r>
              <w:rPr>
                <w:b w:val="0"/>
                <w:i w:val="0"/>
                <w:color w:val="1E293B"/>
                <w:sz w:val="19"/>
              </w:rPr>
              <w:t>19–30 May</w:t>
            </w:r>
          </w:p>
        </w:tc>
        <w:tc>
          <w:tcPr>
            <w:tcW w:type="dxa" w:w="1882"/>
            <w:shd w:val="clear" w:color="auto" w:fill="FFFFFF"/>
          </w:tcPr>
          <w:p>
            <w:pPr>
              <w:jc w:val="left"/>
            </w:pPr>
            <w:r>
              <w:rPr>
                <w:b w:val="0"/>
                <w:i w:val="0"/>
                <w:color w:val="1E293B"/>
                <w:sz w:val="19"/>
              </w:rPr>
              <w:t>Phase 4–5: Integration + Final Report</w:t>
            </w:r>
          </w:p>
        </w:tc>
        <w:tc>
          <w:tcPr>
            <w:tcW w:type="dxa" w:w="1882"/>
            <w:shd w:val="clear" w:color="auto" w:fill="FFFFFF"/>
          </w:tcPr>
          <w:p>
            <w:pPr>
              <w:jc w:val="left"/>
            </w:pPr>
            <w:r>
              <w:rPr>
                <w:b w:val="0"/>
                <w:i w:val="0"/>
                <w:color w:val="1E293B"/>
                <w:sz w:val="19"/>
              </w:rPr>
              <w:t>UAT results; IIM final submission</w:t>
            </w:r>
          </w:p>
        </w:tc>
        <w:tc>
          <w:tcPr>
            <w:tcW w:type="dxa" w:w="1882"/>
            <w:shd w:val="clear" w:color="auto" w:fill="FFFFFF"/>
          </w:tcPr>
          <w:p>
            <w:pPr>
              <w:jc w:val="left"/>
            </w:pPr>
            <w:r>
              <w:rPr>
                <w:b/>
                <w:i w:val="0"/>
                <w:color w:val="64748B"/>
                <w:sz w:val="19"/>
              </w:rPr>
              <w:t>NOT STARTED</w:t>
            </w:r>
          </w:p>
        </w:tc>
      </w:tr>
    </w:tbl>
    <w:p>
      <w:pPr>
        <w:spacing w:before="0" w:after="80"/>
        <w:jc w:val="left"/>
      </w:pPr>
    </w:p>
    <w:p>
      <w:pPr>
        <w:spacing w:before="40" w:after="40"/>
        <w:pBdr>
          <w:bottom w:val="single" w:sz="6" w:space="1" w:color="0D9488"/>
        </w:pBdr>
      </w:pPr>
    </w:p>
    <w:p>
      <w:r>
        <w:br w:type="page"/>
      </w:r>
    </w:p>
    <w:tbl>
      <w:tblPr>
        <w:tblW w:type="auto" w:w="0"/>
        <w:jc w:val="left"/>
        <w:tblLook w:firstColumn="1" w:firstRow="1" w:lastColumn="0" w:lastRow="0" w:noHBand="0" w:noVBand="1" w:val="04A0"/>
      </w:tblPr>
      <w:tblGrid>
        <w:gridCol w:w="9412"/>
      </w:tblGrid>
      <w:tr>
        <w:tc>
          <w:tcPr>
            <w:tcW w:type="dxa" w:w="9072"/>
            <w:shd w:val="clear" w:color="auto" w:fill="7C3AED"/>
          </w:tcPr>
          <w:p>
            <w:pPr>
              <w:spacing w:before="80" w:after="80"/>
              <w:jc w:val="left"/>
            </w:pPr>
            <w:r>
              <w:rPr>
                <w:b/>
                <w:i w:val="0"/>
                <w:color w:val="FFFFFF"/>
                <w:sz w:val="26"/>
              </w:rPr>
              <w:t>SECTION 6 — API ARCHITECTURE: HOW THE MODEL, API &amp; FINNUP CONNECT</w:t>
            </w:r>
          </w:p>
        </w:tc>
      </w:tr>
    </w:tbl>
    <w:p/>
    <w:p>
      <w:pPr>
        <w:pStyle w:val="Heading2"/>
        <w:spacing w:before="240" w:after="80"/>
      </w:pPr>
      <w:r>
        <w:rPr>
          <w:rFonts w:ascii="Calibri" w:hAnsi="Calibri"/>
          <w:color w:val="1B3A6B"/>
        </w:rPr>
        <w:t>Overview</w:t>
      </w:r>
    </w:p>
    <w:p>
      <w:pPr>
        <w:spacing w:before="0" w:after="120"/>
        <w:jc w:val="left"/>
      </w:pPr>
      <w:r>
        <w:rPr>
          <w:rFonts w:ascii="Calibri" w:hAnsi="Calibri"/>
          <w:b w:val="0"/>
          <w:i w:val="0"/>
          <w:sz w:val="21"/>
        </w:rPr>
        <w:t>A common question: once the ML model is trained, how does it actually get used by FinnUp? This section explains the full flow end-to-end in plain language — from a borrower registering on the FinnUp platform to a lender receiving a ranked, scored lead.</w:t>
      </w:r>
    </w:p>
    <w:p>
      <w:pPr>
        <w:pStyle w:val="Heading2"/>
        <w:spacing w:before="240" w:after="80"/>
      </w:pPr>
      <w:r>
        <w:rPr>
          <w:rFonts w:ascii="Calibri" w:hAnsi="Calibri"/>
          <w:color w:val="1B3A6B"/>
        </w:rPr>
        <w:t>6.1  The Three Components (What Gets Built)</w:t>
      </w:r>
    </w:p>
    <w:tbl>
      <w:tblPr>
        <w:tblStyle w:val="TableGrid"/>
        <w:tblW w:type="auto" w:w="0"/>
        <w:tblLook w:firstColumn="1" w:firstRow="1" w:lastColumn="0" w:lastRow="0" w:noHBand="0" w:noVBand="1" w:val="04A0"/>
      </w:tblPr>
      <w:tblGrid>
        <w:gridCol w:w="9412"/>
      </w:tblGrid>
      <w:tr>
        <w:tc>
          <w:tcPr>
            <w:tcW w:type="dxa" w:w="9412"/>
            <w:shd w:val="clear" w:color="auto" w:fill="1B3A6B"/>
          </w:tcPr>
          <w:p>
            <w:pPr>
              <w:jc w:val="left"/>
            </w:pPr>
            <w:r>
              <w:rPr>
                <w:b/>
                <w:i w:val="0"/>
                <w:color w:val="FFFFFF"/>
                <w:sz w:val="22"/>
              </w:rPr>
              <w:t>Component 1: The Trained ML Model  (a saved file)</w:t>
            </w:r>
          </w:p>
        </w:tc>
      </w:tr>
      <w:tr>
        <w:tc>
          <w:tcPr>
            <w:tcW w:type="dxa" w:w="9412"/>
            <w:shd w:val="clear" w:color="auto" w:fill="F5F7FA"/>
          </w:tcPr>
          <w:p>
            <w:r>
              <w:rPr>
                <w:rFonts w:ascii="Calibri" w:hAnsi="Calibri"/>
                <w:color w:val="1E293B"/>
                <w:sz w:val="20"/>
              </w:rPr>
              <w:t xml:space="preserve">  &gt; The model is trained once on historical FinnUp data (Weeks 4-5)</w:t>
              <w:br/>
              <w:t xml:space="preserve">  &gt; After training it is saved as a file on disk — e.g. xgboost_model.pkl (a few MB in size)</w:t>
              <w:br/>
              <w:t xml:space="preserve">  &gt; This file contains all learned patterns: which features predict approval for which lender</w:t>
              <w:br/>
              <w:t xml:space="preserve">  &gt; It can be loaded instantly in memory and used to score thousands of borrowers per second</w:t>
              <w:br/>
              <w:t xml:space="preserve">  &gt; Think of it like a trained brain saved to a USB drive — train once, use endlessly</w:t>
              <w:br/>
              <w:t xml:space="preserve">  &gt; It gets retrained monthly as new approval/rejection outcomes arrive from FinnUp</w:t>
            </w:r>
          </w:p>
        </w:tc>
      </w:tr>
    </w:tbl>
    <w:p>
      <w:pPr>
        <w:spacing w:before="0" w:after="80"/>
        <w:jc w:val="left"/>
      </w:pPr>
    </w:p>
    <w:tbl>
      <w:tblPr>
        <w:tblStyle w:val="TableGrid"/>
        <w:tblW w:type="auto" w:w="0"/>
        <w:tblLook w:firstColumn="1" w:firstRow="1" w:lastColumn="0" w:lastRow="0" w:noHBand="0" w:noVBand="1" w:val="04A0"/>
      </w:tblPr>
      <w:tblGrid>
        <w:gridCol w:w="9412"/>
      </w:tblGrid>
      <w:tr>
        <w:tc>
          <w:tcPr>
            <w:tcW w:type="dxa" w:w="9412"/>
            <w:shd w:val="clear" w:color="auto" w:fill="0D9488"/>
          </w:tcPr>
          <w:p>
            <w:pPr>
              <w:jc w:val="left"/>
            </w:pPr>
            <w:r>
              <w:rPr>
                <w:b/>
                <w:i w:val="0"/>
                <w:color w:val="FFFFFF"/>
                <w:sz w:val="22"/>
              </w:rPr>
              <w:t>Component 2: The Feature Pipeline  (Python code that transforms raw data)</w:t>
            </w:r>
          </w:p>
        </w:tc>
      </w:tr>
      <w:tr>
        <w:tc>
          <w:tcPr>
            <w:tcW w:type="dxa" w:w="9412"/>
            <w:shd w:val="clear" w:color="auto" w:fill="F5F7FA"/>
          </w:tcPr>
          <w:p>
            <w:r>
              <w:rPr>
                <w:rFonts w:ascii="Calibri" w:hAnsi="Calibri"/>
                <w:color w:val="1E293B"/>
                <w:sz w:val="20"/>
              </w:rPr>
              <w:t xml:space="preserve">  &gt; Raw borrower data sent by FinnUp is messy — names, numbers, missing fields</w:t>
              <w:br/>
              <w:t xml:space="preserve">  &gt; The feature pipeline transforms raw data into the 50+ numeric features the model expects</w:t>
              <w:br/>
              <w:t xml:space="preserve">  &gt; Example: 'Company Type = Proprietorship' becomes a number the model understands (one-hot encode)</w:t>
              <w:br/>
              <w:t xml:space="preserve">  &gt; Example: Turnover = Rs 5,00,000 becomes log(500000) = 13.1 (log transform)</w:t>
              <w:br/>
              <w:t xml:space="preserve">  &gt; Example: if Director CIBIL is missing it fills it with the sector median and sets cibil_missing flag = 1</w:t>
              <w:br/>
              <w:t xml:space="preserve">  &gt; This code runs automatically every time a borrower is scored — zero human involvement</w:t>
            </w:r>
          </w:p>
        </w:tc>
      </w:tr>
    </w:tbl>
    <w:p>
      <w:pPr>
        <w:spacing w:before="0" w:after="80"/>
        <w:jc w:val="left"/>
      </w:pPr>
    </w:p>
    <w:tbl>
      <w:tblPr>
        <w:tblStyle w:val="TableGrid"/>
        <w:tblW w:type="auto" w:w="0"/>
        <w:tblLook w:firstColumn="1" w:firstRow="1" w:lastColumn="0" w:lastRow="0" w:noHBand="0" w:noVBand="1" w:val="04A0"/>
      </w:tblPr>
      <w:tblGrid>
        <w:gridCol w:w="9412"/>
      </w:tblGrid>
      <w:tr>
        <w:tc>
          <w:tcPr>
            <w:tcW w:type="dxa" w:w="9412"/>
            <w:shd w:val="clear" w:color="auto" w:fill="7C3AED"/>
          </w:tcPr>
          <w:p>
            <w:pPr>
              <w:jc w:val="left"/>
            </w:pPr>
            <w:r>
              <w:rPr>
                <w:b/>
                <w:i w:val="0"/>
                <w:color w:val="FFFFFF"/>
                <w:sz w:val="22"/>
              </w:rPr>
              <w:t>Component 3: The REST API  (the connector layer — built with FastAPI)</w:t>
            </w:r>
          </w:p>
        </w:tc>
      </w:tr>
      <w:tr>
        <w:tc>
          <w:tcPr>
            <w:tcW w:type="dxa" w:w="9412"/>
            <w:shd w:val="clear" w:color="auto" w:fill="F5F7FA"/>
          </w:tcPr>
          <w:p>
            <w:r>
              <w:rPr>
                <w:rFonts w:ascii="Calibri" w:hAnsi="Calibri"/>
                <w:color w:val="1E293B"/>
                <w:sz w:val="20"/>
              </w:rPr>
              <w:t xml:space="preserve">  &gt; The API is a web service that runs on a cloud server 24/7 — like a website that never closes</w:t>
              <w:br/>
              <w:t xml:space="preserve">  &gt; FinnUp sends a borrower's raw data to the API using a standard HTTP call</w:t>
              <w:br/>
              <w:t xml:space="preserve">  &gt; The API runs the feature pipeline, feeds features to the model, applies lender rules, returns the score</w:t>
              <w:br/>
              <w:t xml:space="preserve">  &gt; Response time: under 200 milliseconds — faster than a human eye blink</w:t>
              <w:br/>
              <w:t xml:space="preserve">  &gt; Secured with an API key — only FinnUp's authorised system can call it</w:t>
              <w:br/>
              <w:t xml:space="preserve">  &gt; Every call is audit-logged: timestamp, borrower ID, score returned</w:t>
            </w:r>
          </w:p>
        </w:tc>
      </w:tr>
    </w:tbl>
    <w:p>
      <w:pPr>
        <w:spacing w:before="0" w:after="80"/>
        <w:jc w:val="left"/>
      </w:pPr>
    </w:p>
    <w:p>
      <w:pPr>
        <w:spacing w:before="40" w:after="40"/>
        <w:pBdr>
          <w:bottom w:val="single" w:sz="6" w:space="1" w:color="0D9488"/>
        </w:pBdr>
      </w:pPr>
    </w:p>
    <w:p>
      <w:pPr>
        <w:pStyle w:val="Heading2"/>
        <w:spacing w:before="240" w:after="80"/>
      </w:pPr>
      <w:r>
        <w:rPr>
          <w:rFonts w:ascii="Calibri" w:hAnsi="Calibri"/>
          <w:color w:val="1B3A6B"/>
        </w:rPr>
        <w:t>6.2  Step-by-Step: What Happens When a Borrower Registers</w:t>
      </w:r>
    </w:p>
    <w:p>
      <w:pPr>
        <w:spacing w:before="0" w:after="80"/>
        <w:jc w:val="left"/>
      </w:pPr>
      <w:r>
        <w:rPr>
          <w:rFonts w:ascii="Calibri" w:hAnsi="Calibri"/>
          <w:b w:val="0"/>
          <w:i w:val="0"/>
          <w:sz w:val="21"/>
        </w:rPr>
        <w:t>Here is exactly what happens from borrower registration to a lender seeing a scored lead — fully automated, no human needed at any step:</w:t>
      </w:r>
    </w:p>
    <w:tbl>
      <w:tblPr>
        <w:tblStyle w:val="TableGrid"/>
        <w:tblW w:type="auto" w:w="0"/>
        <w:tblLook w:firstColumn="1" w:firstRow="1" w:lastColumn="0" w:lastRow="0" w:noHBand="0" w:noVBand="1" w:val="04A0"/>
      </w:tblPr>
      <w:tblGrid>
        <w:gridCol w:w="4706"/>
        <w:gridCol w:w="4706"/>
      </w:tblGrid>
      <w:tr>
        <w:tc>
          <w:tcPr>
            <w:tcW w:type="dxa" w:w="1296"/>
            <w:shd w:val="clear" w:color="auto" w:fill="1B3A6B"/>
          </w:tcPr>
          <w:p>
            <w:pPr>
              <w:jc w:val="center"/>
            </w:pPr>
            <w:r>
              <w:rPr>
                <w:b/>
                <w:i w:val="0"/>
                <w:color w:val="FFFFFF"/>
                <w:sz w:val="22"/>
              </w:rPr>
              <w:t>STEP 1</w:t>
            </w:r>
          </w:p>
        </w:tc>
        <w:tc>
          <w:tcPr>
            <w:tcW w:type="dxa" w:w="4706"/>
            <w:shd w:val="clear" w:color="auto" w:fill="F5F7FA"/>
          </w:tcPr>
          <w:p>
            <w:r>
              <w:rPr>
                <w:rFonts w:ascii="Calibri" w:hAnsi="Calibri"/>
                <w:b/>
                <w:color w:val="1B3A6B"/>
                <w:sz w:val="21"/>
              </w:rPr>
              <w:t>Borrower submits registration on FinnUp portal</w:t>
              <w:br/>
            </w:r>
            <w:r>
              <w:rPr>
                <w:rFonts w:ascii="Calibri" w:hAnsi="Calibri"/>
                <w:color w:val="1E293B"/>
                <w:sz w:val="19"/>
              </w:rPr>
              <w:t>A borrower fills in their details: company name, turnover, business type, location, loan amount needed.</w:t>
              <w:br/>
            </w:r>
            <w:r>
              <w:rPr>
                <w:rFonts w:ascii="Calibri" w:hAnsi="Calibri"/>
                <w:i/>
                <w:color w:val="64748B"/>
                <w:sz w:val="18"/>
              </w:rPr>
              <w:t xml:space="preserve">  Tech note: FinnUp's existing web portal — no changes needed to this step</w:t>
            </w:r>
          </w:p>
        </w:tc>
      </w:tr>
    </w:tbl>
    <w:p>
      <w:pPr>
        <w:spacing w:before="0" w:after="80"/>
        <w:jc w:val="left"/>
      </w:pPr>
    </w:p>
    <w:tbl>
      <w:tblPr>
        <w:tblStyle w:val="TableGrid"/>
        <w:tblW w:type="auto" w:w="0"/>
        <w:tblLook w:firstColumn="1" w:firstRow="1" w:lastColumn="0" w:lastRow="0" w:noHBand="0" w:noVBand="1" w:val="04A0"/>
      </w:tblPr>
      <w:tblGrid>
        <w:gridCol w:w="4706"/>
        <w:gridCol w:w="4706"/>
      </w:tblGrid>
      <w:tr>
        <w:tc>
          <w:tcPr>
            <w:tcW w:type="dxa" w:w="1296"/>
            <w:shd w:val="clear" w:color="auto" w:fill="0D9488"/>
          </w:tcPr>
          <w:p>
            <w:pPr>
              <w:jc w:val="center"/>
            </w:pPr>
            <w:r>
              <w:rPr>
                <w:b/>
                <w:i w:val="0"/>
                <w:color w:val="FFFFFF"/>
                <w:sz w:val="22"/>
              </w:rPr>
              <w:t>STEP 2</w:t>
            </w:r>
          </w:p>
        </w:tc>
        <w:tc>
          <w:tcPr>
            <w:tcW w:type="dxa" w:w="4706"/>
            <w:shd w:val="clear" w:color="auto" w:fill="FFFFFF"/>
          </w:tcPr>
          <w:p>
            <w:r>
              <w:rPr>
                <w:rFonts w:ascii="Calibri" w:hAnsi="Calibri"/>
                <w:b/>
                <w:color w:val="0D9488"/>
                <w:sz w:val="21"/>
              </w:rPr>
              <w:t>FinnUp's system sends the borrower data to our Scoring API</w:t>
              <w:br/>
            </w:r>
            <w:r>
              <w:rPr>
                <w:rFonts w:ascii="Calibri" w:hAnsi="Calibri"/>
                <w:color w:val="1E293B"/>
                <w:sz w:val="19"/>
              </w:rPr>
              <w:t>Option A (Webhook / Real-time): FinnUp's system is configured to automatically call our API the moment a new borrower registers. Score is returned within 200ms.</w:t>
              <w:br/>
              <w:t>Option B (Batch / Nightly): A scheduled script runs at midnight, collects all new borrowers registered that day, sends them all to the API in bulk, writes scores back to FinnUp's CRM.</w:t>
              <w:br/>
            </w:r>
            <w:r>
              <w:rPr>
                <w:rFonts w:ascii="Calibri" w:hAnsi="Calibri"/>
                <w:i/>
                <w:color w:val="64748B"/>
                <w:sz w:val="18"/>
              </w:rPr>
              <w:t xml:space="preserve">  Tech note: FinnUp Tech adds 1 line: POST https://api.finnup-score.com/v1/score  (1-day integration task)</w:t>
            </w:r>
          </w:p>
        </w:tc>
      </w:tr>
    </w:tbl>
    <w:p>
      <w:pPr>
        <w:spacing w:before="0" w:after="80"/>
        <w:jc w:val="left"/>
      </w:pPr>
    </w:p>
    <w:tbl>
      <w:tblPr>
        <w:tblStyle w:val="TableGrid"/>
        <w:tblW w:type="auto" w:w="0"/>
        <w:tblLook w:firstColumn="1" w:firstRow="1" w:lastColumn="0" w:lastRow="0" w:noHBand="0" w:noVBand="1" w:val="04A0"/>
      </w:tblPr>
      <w:tblGrid>
        <w:gridCol w:w="4706"/>
        <w:gridCol w:w="4706"/>
      </w:tblGrid>
      <w:tr>
        <w:tc>
          <w:tcPr>
            <w:tcW w:type="dxa" w:w="1296"/>
            <w:shd w:val="clear" w:color="auto" w:fill="7C3AED"/>
          </w:tcPr>
          <w:p>
            <w:pPr>
              <w:jc w:val="center"/>
            </w:pPr>
            <w:r>
              <w:rPr>
                <w:b/>
                <w:i w:val="0"/>
                <w:color w:val="FFFFFF"/>
                <w:sz w:val="22"/>
              </w:rPr>
              <w:t>STEP 3</w:t>
            </w:r>
          </w:p>
        </w:tc>
        <w:tc>
          <w:tcPr>
            <w:tcW w:type="dxa" w:w="4706"/>
            <w:shd w:val="clear" w:color="auto" w:fill="F5F7FA"/>
          </w:tcPr>
          <w:p>
            <w:r>
              <w:rPr>
                <w:rFonts w:ascii="Calibri" w:hAnsi="Calibri"/>
                <w:b/>
                <w:color w:val="7C3AED"/>
                <w:sz w:val="21"/>
              </w:rPr>
              <w:t>API receives raw borrower data as a JSON message and validates it</w:t>
              <w:br/>
            </w:r>
            <w:r>
              <w:rPr>
                <w:rFonts w:ascii="Calibri" w:hAnsi="Calibri"/>
                <w:color w:val="1E293B"/>
                <w:sz w:val="19"/>
              </w:rPr>
              <w:t>Example JSON received by API:</w:t>
              <w:br/>
              <w:t xml:space="preserve">  { "borrower_id": "B12345", "turnover": 5000000, "company_type": "Proprietorship",</w:t>
              <w:br/>
              <w:t xml:space="preserve">    "state": "Maharashtra", "director_cibil": 720, "loan_amount": 2000000 }</w:t>
              <w:br/>
              <w:br/>
              <w:t>API validates all fields (required fields, data types, value ranges) before processing anything.</w:t>
              <w:br/>
            </w:r>
            <w:r>
              <w:rPr>
                <w:rFonts w:ascii="Calibri" w:hAnsi="Calibri"/>
                <w:i/>
                <w:color w:val="64748B"/>
                <w:sz w:val="18"/>
              </w:rPr>
              <w:t xml:space="preserve">  Tech note: Input validation handled automatically by Pydantic library — invalid data rejected with error message</w:t>
            </w:r>
          </w:p>
        </w:tc>
      </w:tr>
    </w:tbl>
    <w:p>
      <w:pPr>
        <w:spacing w:before="0" w:after="80"/>
        <w:jc w:val="left"/>
      </w:pPr>
    </w:p>
    <w:tbl>
      <w:tblPr>
        <w:tblStyle w:val="TableGrid"/>
        <w:tblW w:type="auto" w:w="0"/>
        <w:tblLook w:firstColumn="1" w:firstRow="1" w:lastColumn="0" w:lastRow="0" w:noHBand="0" w:noVBand="1" w:val="04A0"/>
      </w:tblPr>
      <w:tblGrid>
        <w:gridCol w:w="4706"/>
        <w:gridCol w:w="4706"/>
      </w:tblGrid>
      <w:tr>
        <w:tc>
          <w:tcPr>
            <w:tcW w:type="dxa" w:w="1296"/>
            <w:shd w:val="clear" w:color="auto" w:fill="F59E0B"/>
          </w:tcPr>
          <w:p>
            <w:pPr>
              <w:jc w:val="center"/>
            </w:pPr>
            <w:r>
              <w:rPr>
                <w:b/>
                <w:i w:val="0"/>
                <w:color w:val="FFFFFF"/>
                <w:sz w:val="22"/>
              </w:rPr>
              <w:t>STEP 4</w:t>
            </w:r>
          </w:p>
        </w:tc>
        <w:tc>
          <w:tcPr>
            <w:tcW w:type="dxa" w:w="4706"/>
            <w:shd w:val="clear" w:color="auto" w:fill="FFFFFF"/>
          </w:tcPr>
          <w:p>
            <w:r>
              <w:rPr>
                <w:rFonts w:ascii="Calibri" w:hAnsi="Calibri"/>
                <w:b/>
                <w:color w:val="F59E0B"/>
                <w:sz w:val="21"/>
              </w:rPr>
              <w:t>Feature pipeline transforms raw data into 50+ model-ready features (takes ~5ms)</w:t>
              <w:br/>
            </w:r>
            <w:r>
              <w:rPr>
                <w:rFonts w:ascii="Calibri" w:hAnsi="Calibri"/>
                <w:color w:val="1E293B"/>
                <w:sz w:val="19"/>
              </w:rPr>
              <w:t xml:space="preserve">  &gt; log(5000000) = 15.4  (log-transform of Turnover)</w:t>
              <w:br/>
              <w:t xml:space="preserve">  &gt; company_type_proprietorship = 1  (one-hot encoding)</w:t>
              <w:br/>
              <w:t xml:space="preserve">  &gt; state_maharashtra = 1  (state encoding)</w:t>
              <w:br/>
              <w:t xml:space="preserve">  &gt; director_cibil = 720,  director_cibil_imputed = 0  (real value present)</w:t>
              <w:br/>
              <w:t xml:space="preserve">  &gt; has_bank_data = 0,  bounce_ratio = 0  (no bank data yet — flagged)</w:t>
              <w:br/>
              <w:t xml:space="preserve">  &gt; ... 50+ features computed in total</w:t>
              <w:br/>
            </w:r>
            <w:r>
              <w:rPr>
                <w:rFonts w:ascii="Calibri" w:hAnsi="Calibri"/>
                <w:i/>
                <w:color w:val="64748B"/>
                <w:sz w:val="18"/>
              </w:rPr>
              <w:t xml:space="preserve">  Tech note: Same feature pipeline code built in Weeks 2-3; reused here inside the API</w:t>
            </w:r>
          </w:p>
        </w:tc>
      </w:tr>
    </w:tbl>
    <w:p>
      <w:pPr>
        <w:spacing w:before="0" w:after="80"/>
        <w:jc w:val="left"/>
      </w:pPr>
    </w:p>
    <w:tbl>
      <w:tblPr>
        <w:tblStyle w:val="TableGrid"/>
        <w:tblW w:type="auto" w:w="0"/>
        <w:tblLook w:firstColumn="1" w:firstRow="1" w:lastColumn="0" w:lastRow="0" w:noHBand="0" w:noVBand="1" w:val="04A0"/>
      </w:tblPr>
      <w:tblGrid>
        <w:gridCol w:w="4706"/>
        <w:gridCol w:w="4706"/>
      </w:tblGrid>
      <w:tr>
        <w:tc>
          <w:tcPr>
            <w:tcW w:type="dxa" w:w="1296"/>
            <w:shd w:val="clear" w:color="auto" w:fill="EF4444"/>
          </w:tcPr>
          <w:p>
            <w:pPr>
              <w:jc w:val="center"/>
            </w:pPr>
            <w:r>
              <w:rPr>
                <w:b/>
                <w:i w:val="0"/>
                <w:color w:val="FFFFFF"/>
                <w:sz w:val="22"/>
              </w:rPr>
              <w:t>STEP 5</w:t>
            </w:r>
          </w:p>
        </w:tc>
        <w:tc>
          <w:tcPr>
            <w:tcW w:type="dxa" w:w="4706"/>
            <w:shd w:val="clear" w:color="auto" w:fill="F5F7FA"/>
          </w:tcPr>
          <w:p>
            <w:r>
              <w:rPr>
                <w:rFonts w:ascii="Calibri" w:hAnsi="Calibri"/>
                <w:b/>
                <w:color w:val="EF4444"/>
                <w:sz w:val="21"/>
              </w:rPr>
              <w:t>Lender policy rule engine filters eligible lenders (hard rules applied first)</w:t>
              <w:br/>
            </w:r>
            <w:r>
              <w:rPr>
                <w:rFonts w:ascii="Calibri" w:hAnsi="Calibri"/>
                <w:color w:val="1E293B"/>
                <w:sz w:val="19"/>
              </w:rPr>
              <w:t>Before ML runs, the rule engine checks which lenders this borrower even qualifies for:</w:t>
              <w:br/>
              <w:t xml:space="preserve">  &gt; Lender A: needs CIBIL &gt;= 680, Turnover &gt;= Rs 30L, Maharashtra only  -&gt; PASS</w:t>
              <w:br/>
              <w:t xml:space="preserve">  &gt; Lender B: needs CIBIL &gt;= 750, Manufacturing sector only  -&gt; FAIL (CIBIL only 720)</w:t>
              <w:br/>
              <w:t xml:space="preserve">  &gt; Lender C: no CIBIL minimum, Turnover &gt;= Rs 10L  -&gt; PASS</w:t>
              <w:br/>
              <w:t>Result: 4 of 10 lenders are eligible. ML only runs on these 4 — saves compute, ensures compliance.</w:t>
              <w:br/>
            </w:r>
            <w:r>
              <w:rPr>
                <w:rFonts w:ascii="Calibri" w:hAnsi="Calibri"/>
                <w:i/>
                <w:color w:val="64748B"/>
                <w:sz w:val="18"/>
              </w:rPr>
              <w:t xml:space="preserve">  Tech note: Lender policy JSON files already in /data/lender_policies/ — confirmed in Week 1</w:t>
            </w:r>
          </w:p>
        </w:tc>
      </w:tr>
    </w:tbl>
    <w:p>
      <w:pPr>
        <w:spacing w:before="0" w:after="80"/>
        <w:jc w:val="left"/>
      </w:pPr>
    </w:p>
    <w:tbl>
      <w:tblPr>
        <w:tblStyle w:val="TableGrid"/>
        <w:tblW w:type="auto" w:w="0"/>
        <w:tblLook w:firstColumn="1" w:firstRow="1" w:lastColumn="0" w:lastRow="0" w:noHBand="0" w:noVBand="1" w:val="04A0"/>
      </w:tblPr>
      <w:tblGrid>
        <w:gridCol w:w="4706"/>
        <w:gridCol w:w="4706"/>
      </w:tblGrid>
      <w:tr>
        <w:tc>
          <w:tcPr>
            <w:tcW w:type="dxa" w:w="1296"/>
            <w:shd w:val="clear" w:color="auto" w:fill="0D9488"/>
          </w:tcPr>
          <w:p>
            <w:pPr>
              <w:jc w:val="center"/>
            </w:pPr>
            <w:r>
              <w:rPr>
                <w:b/>
                <w:i w:val="0"/>
                <w:color w:val="FFFFFF"/>
                <w:sz w:val="22"/>
              </w:rPr>
              <w:t>STEP 6</w:t>
            </w:r>
          </w:p>
        </w:tc>
        <w:tc>
          <w:tcPr>
            <w:tcW w:type="dxa" w:w="4706"/>
            <w:shd w:val="clear" w:color="auto" w:fill="FFFFFF"/>
          </w:tcPr>
          <w:p>
            <w:r>
              <w:rPr>
                <w:rFonts w:ascii="Calibri" w:hAnsi="Calibri"/>
                <w:b/>
                <w:color w:val="0D9488"/>
                <w:sz w:val="21"/>
              </w:rPr>
              <w:t>XGBoost model predicts P(approval) for each eligible lender and ranks them</w:t>
              <w:br/>
            </w:r>
            <w:r>
              <w:rPr>
                <w:rFonts w:ascii="Calibri" w:hAnsi="Calibri"/>
                <w:color w:val="1E293B"/>
                <w:sz w:val="19"/>
              </w:rPr>
              <w:t xml:space="preserve">  &gt; Lender A + Borrower B12345  -&gt;  P(approval) = 0.82  -&gt;  Score = 820</w:t>
              <w:br/>
              <w:t xml:space="preserve">  &gt; Lender C + Borrower B12345  -&gt;  P(approval) = 0.71  -&gt;  Score = 710</w:t>
              <w:br/>
              <w:t xml:space="preserve">  &gt; Lender D + Borrower B12345  -&gt;  P(approval) = 0.61  -&gt;  Score = 610</w:t>
              <w:br/>
              <w:t xml:space="preserve">  &gt; Lender E + Borrower B12345  -&gt;  P(approval) = 0.45  -&gt;  Score = 450</w:t>
              <w:br/>
              <w:br/>
              <w:t>Lenders are ranked: A (820) &gt; C (710) &gt; D (610) &gt; E (450)</w:t>
              <w:br/>
              <w:t>Top 3 recommended: Lender A, C, D</w:t>
              <w:br/>
            </w:r>
            <w:r>
              <w:rPr>
                <w:rFonts w:ascii="Calibri" w:hAnsi="Calibri"/>
                <w:i/>
                <w:color w:val="64748B"/>
                <w:sz w:val="18"/>
              </w:rPr>
              <w:t xml:space="preserve">  Tech note: XGBoost model trained and saved as .pkl file in Week 4; loaded into memory when API starts</w:t>
            </w:r>
          </w:p>
        </w:tc>
      </w:tr>
    </w:tbl>
    <w:p>
      <w:pPr>
        <w:spacing w:before="0" w:after="80"/>
        <w:jc w:val="left"/>
      </w:pPr>
    </w:p>
    <w:tbl>
      <w:tblPr>
        <w:tblStyle w:val="TableGrid"/>
        <w:tblW w:type="auto" w:w="0"/>
        <w:tblLook w:firstColumn="1" w:firstRow="1" w:lastColumn="0" w:lastRow="0" w:noHBand="0" w:noVBand="1" w:val="04A0"/>
      </w:tblPr>
      <w:tblGrid>
        <w:gridCol w:w="4706"/>
        <w:gridCol w:w="4706"/>
      </w:tblGrid>
      <w:tr>
        <w:tc>
          <w:tcPr>
            <w:tcW w:type="dxa" w:w="1296"/>
            <w:shd w:val="clear" w:color="auto" w:fill="16A34A"/>
          </w:tcPr>
          <w:p>
            <w:pPr>
              <w:jc w:val="center"/>
            </w:pPr>
            <w:r>
              <w:rPr>
                <w:b/>
                <w:i w:val="0"/>
                <w:color w:val="FFFFFF"/>
                <w:sz w:val="22"/>
              </w:rPr>
              <w:t>STEP 7</w:t>
            </w:r>
          </w:p>
        </w:tc>
        <w:tc>
          <w:tcPr>
            <w:tcW w:type="dxa" w:w="4706"/>
            <w:shd w:val="clear" w:color="auto" w:fill="F5F7FA"/>
          </w:tcPr>
          <w:p>
            <w:r>
              <w:rPr>
                <w:rFonts w:ascii="Calibri" w:hAnsi="Calibri"/>
                <w:b/>
                <w:color w:val="16A34A"/>
                <w:sz w:val="21"/>
              </w:rPr>
              <w:t>SHAP generates human-readable explanation for WHY this score was given</w:t>
              <w:br/>
            </w:r>
            <w:r>
              <w:rPr>
                <w:rFonts w:ascii="Calibri" w:hAnsi="Calibri"/>
                <w:color w:val="1E293B"/>
                <w:sz w:val="19"/>
              </w:rPr>
              <w:t>SHAP breaks the prediction into each feature's contribution. Example output:</w:t>
              <w:br/>
              <w:t xml:space="preserve">  &gt; +120 points: Director CIBIL = 720  (above-average credit signal — positive)</w:t>
              <w:br/>
              <w:t xml:space="preserve">  &gt; +85 points:  Turnover Rs 50L  (good scale for this loan amount — positive)</w:t>
              <w:br/>
              <w:t xml:space="preserve">  &gt; -40 points:  No bank statement data available  (uncertainty — negative)</w:t>
              <w:br/>
              <w:t xml:space="preserve">  &gt; -25 points:  Business Age &lt; 2 years  (young business — slight negative)</w:t>
              <w:br/>
              <w:br/>
              <w:t>These become the 'Top reasons for this score' section on the lender's screen.</w:t>
              <w:br/>
            </w:r>
            <w:r>
              <w:rPr>
                <w:rFonts w:ascii="Calibri" w:hAnsi="Calibri"/>
                <w:i/>
                <w:color w:val="64748B"/>
                <w:sz w:val="18"/>
              </w:rPr>
              <w:t xml:space="preserve">  Tech note: SHAP library integrated directly into the API scoring function — runs automatically</w:t>
            </w:r>
          </w:p>
        </w:tc>
      </w:tr>
    </w:tbl>
    <w:p>
      <w:pPr>
        <w:spacing w:before="0" w:after="80"/>
        <w:jc w:val="left"/>
      </w:pPr>
    </w:p>
    <w:tbl>
      <w:tblPr>
        <w:tblStyle w:val="TableGrid"/>
        <w:tblW w:type="auto" w:w="0"/>
        <w:tblLook w:firstColumn="1" w:firstRow="1" w:lastColumn="0" w:lastRow="0" w:noHBand="0" w:noVBand="1" w:val="04A0"/>
      </w:tblPr>
      <w:tblGrid>
        <w:gridCol w:w="4706"/>
        <w:gridCol w:w="4706"/>
      </w:tblGrid>
      <w:tr>
        <w:tc>
          <w:tcPr>
            <w:tcW w:type="dxa" w:w="1296"/>
            <w:shd w:val="clear" w:color="auto" w:fill="1B3A6B"/>
          </w:tcPr>
          <w:p>
            <w:pPr>
              <w:jc w:val="center"/>
            </w:pPr>
            <w:r>
              <w:rPr>
                <w:b/>
                <w:i w:val="0"/>
                <w:color w:val="FFFFFF"/>
                <w:sz w:val="22"/>
              </w:rPr>
              <w:t>STEP 8</w:t>
            </w:r>
          </w:p>
        </w:tc>
        <w:tc>
          <w:tcPr>
            <w:tcW w:type="dxa" w:w="4706"/>
            <w:shd w:val="clear" w:color="auto" w:fill="FFFFFF"/>
          </w:tcPr>
          <w:p>
            <w:r>
              <w:rPr>
                <w:rFonts w:ascii="Calibri" w:hAnsi="Calibri"/>
                <w:b/>
                <w:color w:val="1B3A6B"/>
                <w:sz w:val="21"/>
              </w:rPr>
              <w:t>API sends the complete scorecard back to FinnUp as a JSON response (within 200ms)</w:t>
              <w:br/>
            </w:r>
            <w:r>
              <w:rPr>
                <w:rFonts w:ascii="Calibri" w:hAnsi="Calibri"/>
                <w:color w:val="1E293B"/>
                <w:sz w:val="19"/>
              </w:rPr>
              <w:t xml:space="preserve">  {</w:t>
              <w:br/>
              <w:t xml:space="preserve">    "borrower_id": "B12345",</w:t>
              <w:br/>
              <w:t xml:space="preserve">    "credit_score": 820,  "risk_band": "Good",</w:t>
              <w:br/>
              <w:t xml:space="preserve">    "top_lender_matches": [</w:t>
              <w:br/>
              <w:t xml:space="preserve">      { "lender": "Lender A", "score": 820, "product": "Term Loan" },</w:t>
              <w:br/>
              <w:t xml:space="preserve">      { "lender": "Lender C", "score": 710, "product": "Working Capital" }</w:t>
              <w:br/>
              <w:t xml:space="preserve">    ],</w:t>
              <w:br/>
              <w:t xml:space="preserve">    "key_positive_factors": ["Director CIBIL 720", "Turnover Rs 50L"],</w:t>
              <w:br/>
              <w:t xml:space="preserve">    "key_negative_factors": ["No bank data", "Business age &lt; 2 years"],</w:t>
              <w:br/>
              <w:t xml:space="preserve">    "data_quality_flags": ["bank_data_missing"]</w:t>
              <w:br/>
              <w:t xml:space="preserve">  }</w:t>
              <w:br/>
            </w:r>
            <w:r>
              <w:rPr>
                <w:rFonts w:ascii="Calibri" w:hAnsi="Calibri"/>
                <w:i/>
                <w:color w:val="64748B"/>
                <w:sz w:val="18"/>
              </w:rPr>
              <w:t xml:space="preserve">  Tech note: Standard JSON format — FinnUp reads this and updates the borrower lead record in their CRM</w:t>
            </w:r>
          </w:p>
        </w:tc>
      </w:tr>
    </w:tbl>
    <w:p>
      <w:pPr>
        <w:spacing w:before="0" w:after="80"/>
        <w:jc w:val="left"/>
      </w:pPr>
    </w:p>
    <w:tbl>
      <w:tblPr>
        <w:tblStyle w:val="TableGrid"/>
        <w:tblW w:type="auto" w:w="0"/>
        <w:tblLook w:firstColumn="1" w:firstRow="1" w:lastColumn="0" w:lastRow="0" w:noHBand="0" w:noVBand="1" w:val="04A0"/>
      </w:tblPr>
      <w:tblGrid>
        <w:gridCol w:w="4706"/>
        <w:gridCol w:w="4706"/>
      </w:tblGrid>
      <w:tr>
        <w:tc>
          <w:tcPr>
            <w:tcW w:type="dxa" w:w="1296"/>
            <w:shd w:val="clear" w:color="auto" w:fill="16A34A"/>
          </w:tcPr>
          <w:p>
            <w:pPr>
              <w:jc w:val="center"/>
            </w:pPr>
            <w:r>
              <w:rPr>
                <w:b/>
                <w:i w:val="0"/>
                <w:color w:val="FFFFFF"/>
                <w:sz w:val="22"/>
              </w:rPr>
              <w:t>STEP 9</w:t>
            </w:r>
          </w:p>
        </w:tc>
        <w:tc>
          <w:tcPr>
            <w:tcW w:type="dxa" w:w="4706"/>
            <w:shd w:val="clear" w:color="auto" w:fill="F5F7FA"/>
          </w:tcPr>
          <w:p>
            <w:r>
              <w:rPr>
                <w:rFonts w:ascii="Calibri" w:hAnsi="Calibri"/>
                <w:b/>
                <w:color w:val="16A34A"/>
                <w:sz w:val="21"/>
              </w:rPr>
              <w:t>FinnUp's dashboard shows the scored lead to the matched lender</w:t>
              <w:br/>
            </w:r>
            <w:r>
              <w:rPr>
                <w:rFonts w:ascii="Calibri" w:hAnsi="Calibri"/>
                <w:color w:val="1E293B"/>
                <w:sz w:val="19"/>
              </w:rPr>
              <w:t>The lender logs into the FinnUp portal and sees:</w:t>
              <w:br/>
              <w:t xml:space="preserve">  Credit Score: 820  |  Risk Band: Good</w:t>
              <w:br/>
              <w:t xml:space="preserve">  Recommended action: High priority — contact within 24 hours</w:t>
              <w:br/>
              <w:t xml:space="preserve">  Top positive factors: Director CIBIL 720, Strong Turnover</w:t>
              <w:br/>
              <w:br/>
              <w:t>Optionally: FinnUp sends an email or WhatsApp alert to the lender's relationship manager.</w:t>
              <w:br/>
            </w:r>
            <w:r>
              <w:rPr>
                <w:rFonts w:ascii="Calibri" w:hAnsi="Calibri"/>
                <w:i/>
                <w:color w:val="64748B"/>
                <w:sz w:val="18"/>
              </w:rPr>
              <w:t xml:space="preserve">  Tech note: FinnUp reads the JSON response from Step 8 and renders it in their existing dashboard</w:t>
            </w:r>
          </w:p>
        </w:tc>
      </w:tr>
    </w:tbl>
    <w:p>
      <w:pPr>
        <w:spacing w:before="0" w:after="80"/>
        <w:jc w:val="left"/>
      </w:pPr>
    </w:p>
    <w:p>
      <w:pPr>
        <w:spacing w:before="40" w:after="40"/>
        <w:pBdr>
          <w:bottom w:val="single" w:sz="6" w:space="1" w:color="0D9488"/>
        </w:pBdr>
      </w:pPr>
    </w:p>
    <w:p>
      <w:pPr>
        <w:pStyle w:val="Heading2"/>
        <w:spacing w:before="240" w:after="80"/>
      </w:pPr>
      <w:r>
        <w:rPr>
          <w:rFonts w:ascii="Calibri" w:hAnsi="Calibri"/>
          <w:color w:val="1B3A6B"/>
        </w:rPr>
        <w:t>6.3  The Two Integration Options for FinnUp</w:t>
      </w:r>
    </w:p>
    <w:p>
      <w:pPr>
        <w:spacing w:before="0" w:after="80"/>
        <w:jc w:val="left"/>
      </w:pPr>
      <w:r>
        <w:rPr>
          <w:rFonts w:ascii="Calibri" w:hAnsi="Calibri"/>
          <w:b w:val="0"/>
          <w:i w:val="0"/>
          <w:sz w:val="21"/>
        </w:rPr>
        <w:t>FinnUp can use either mode — or both:</w:t>
      </w:r>
    </w:p>
    <w:tbl>
      <w:tblPr>
        <w:tblStyle w:val="TableGrid"/>
        <w:tblW w:type="auto" w:w="0"/>
        <w:tblLook w:firstColumn="1" w:firstRow="1" w:lastColumn="0" w:lastRow="0" w:noHBand="0" w:noVBand="1" w:val="04A0"/>
      </w:tblPr>
      <w:tblGrid>
        <w:gridCol w:w="2353"/>
        <w:gridCol w:w="2353"/>
        <w:gridCol w:w="2353"/>
        <w:gridCol w:w="2353"/>
      </w:tblGrid>
      <w:tr>
        <w:tc>
          <w:tcPr>
            <w:tcW w:type="dxa" w:w="2353"/>
            <w:shd w:val="clear" w:color="auto" w:fill="1B3A6B"/>
          </w:tcPr>
          <w:p>
            <w:pPr>
              <w:jc w:val="left"/>
            </w:pPr>
            <w:r>
              <w:rPr>
                <w:b/>
                <w:i w:val="0"/>
                <w:color w:val="FFFFFF"/>
                <w:sz w:val="21"/>
              </w:rPr>
              <w:t>Mode</w:t>
            </w:r>
          </w:p>
        </w:tc>
        <w:tc>
          <w:tcPr>
            <w:tcW w:type="dxa" w:w="2353"/>
            <w:shd w:val="clear" w:color="auto" w:fill="1B3A6B"/>
          </w:tcPr>
          <w:p>
            <w:pPr>
              <w:jc w:val="left"/>
            </w:pPr>
            <w:r>
              <w:rPr>
                <w:b/>
                <w:i w:val="0"/>
                <w:color w:val="FFFFFF"/>
                <w:sz w:val="21"/>
              </w:rPr>
              <w:t>How It Works</w:t>
            </w:r>
          </w:p>
        </w:tc>
        <w:tc>
          <w:tcPr>
            <w:tcW w:type="dxa" w:w="2353"/>
            <w:shd w:val="clear" w:color="auto" w:fill="1B3A6B"/>
          </w:tcPr>
          <w:p>
            <w:pPr>
              <w:jc w:val="left"/>
            </w:pPr>
            <w:r>
              <w:rPr>
                <w:b/>
                <w:i w:val="0"/>
                <w:color w:val="FFFFFF"/>
                <w:sz w:val="21"/>
              </w:rPr>
              <w:t>Best For</w:t>
            </w:r>
          </w:p>
        </w:tc>
        <w:tc>
          <w:tcPr>
            <w:tcW w:type="dxa" w:w="2353"/>
            <w:shd w:val="clear" w:color="auto" w:fill="1B3A6B"/>
          </w:tcPr>
          <w:p>
            <w:pPr>
              <w:jc w:val="left"/>
            </w:pPr>
            <w:r>
              <w:rPr>
                <w:b/>
                <w:i w:val="0"/>
                <w:color w:val="FFFFFF"/>
                <w:sz w:val="21"/>
              </w:rPr>
              <w:t>FinnUp Setup Needed</w:t>
            </w:r>
          </w:p>
        </w:tc>
      </w:tr>
      <w:tr>
        <w:tc>
          <w:tcPr>
            <w:tcW w:type="dxa" w:w="2353"/>
            <w:shd w:val="clear" w:color="auto" w:fill="F5F7FA"/>
          </w:tcPr>
          <w:p>
            <w:pPr>
              <w:jc w:val="left"/>
            </w:pPr>
            <w:r>
              <w:rPr>
                <w:b w:val="0"/>
                <w:i w:val="0"/>
                <w:color w:val="1E293B"/>
                <w:sz w:val="19"/>
              </w:rPr>
              <w:t>Option A — Webhook (Real-Time)</w:t>
            </w:r>
          </w:p>
        </w:tc>
        <w:tc>
          <w:tcPr>
            <w:tcW w:type="dxa" w:w="2353"/>
            <w:shd w:val="clear" w:color="auto" w:fill="F5F7FA"/>
          </w:tcPr>
          <w:p>
            <w:pPr>
              <w:jc w:val="left"/>
            </w:pPr>
            <w:r>
              <w:rPr>
                <w:b w:val="0"/>
                <w:i w:val="0"/>
                <w:color w:val="1E293B"/>
                <w:sz w:val="19"/>
              </w:rPr>
              <w:t>FinnUp adds one config line to their registration form. When a borrower submits, FinnUp automatically POSTs the data to our API URL. Score is returned in 200ms. FinnUp stores it and can show it immediately on the borrower confirmation page.</w:t>
            </w:r>
          </w:p>
        </w:tc>
        <w:tc>
          <w:tcPr>
            <w:tcW w:type="dxa" w:w="2353"/>
            <w:shd w:val="clear" w:color="auto" w:fill="F5F7FA"/>
          </w:tcPr>
          <w:p>
            <w:pPr>
              <w:jc w:val="left"/>
            </w:pPr>
            <w:r>
              <w:rPr>
                <w:b w:val="0"/>
                <w:i w:val="0"/>
                <w:color w:val="1E293B"/>
                <w:sz w:val="19"/>
              </w:rPr>
              <w:t>New borrower onboarding. Score available before the registration confirmation is even shown to the borrower.</w:t>
            </w:r>
          </w:p>
        </w:tc>
        <w:tc>
          <w:tcPr>
            <w:tcW w:type="dxa" w:w="2353"/>
            <w:shd w:val="clear" w:color="auto" w:fill="F5F7FA"/>
          </w:tcPr>
          <w:p>
            <w:pPr>
              <w:jc w:val="left"/>
            </w:pPr>
            <w:r>
              <w:rPr>
                <w:b w:val="0"/>
                <w:i w:val="0"/>
                <w:color w:val="1E293B"/>
                <w:sz w:val="19"/>
              </w:rPr>
              <w:t>FinnUp Tech configures 1 webhook URL in their form.</w:t>
              <w:br/>
              <w:t>Estimated effort: 1 day</w:t>
            </w:r>
          </w:p>
        </w:tc>
      </w:tr>
      <w:tr>
        <w:tc>
          <w:tcPr>
            <w:tcW w:type="dxa" w:w="2353"/>
            <w:shd w:val="clear" w:color="auto" w:fill="FFFFFF"/>
          </w:tcPr>
          <w:p>
            <w:pPr>
              <w:jc w:val="left"/>
            </w:pPr>
            <w:r>
              <w:rPr>
                <w:b w:val="0"/>
                <w:i w:val="0"/>
                <w:color w:val="1E293B"/>
                <w:sz w:val="19"/>
              </w:rPr>
              <w:t>Option B — Nightly Batch Job</w:t>
            </w:r>
          </w:p>
        </w:tc>
        <w:tc>
          <w:tcPr>
            <w:tcW w:type="dxa" w:w="2353"/>
            <w:shd w:val="clear" w:color="auto" w:fill="FFFFFF"/>
          </w:tcPr>
          <w:p>
            <w:pPr>
              <w:jc w:val="left"/>
            </w:pPr>
            <w:r>
              <w:rPr>
                <w:b w:val="0"/>
                <w:i w:val="0"/>
                <w:color w:val="1E293B"/>
                <w:sz w:val="19"/>
              </w:rPr>
              <w:t>A scheduled script runs at midnight. It queries FinnUp's DB for all new borrowers that day, sends them to POST /v1/score/batch, receives all scores, and writes them back to FinnUp's CRM database.</w:t>
            </w:r>
          </w:p>
        </w:tc>
        <w:tc>
          <w:tcPr>
            <w:tcW w:type="dxa" w:w="2353"/>
            <w:shd w:val="clear" w:color="auto" w:fill="FFFFFF"/>
          </w:tcPr>
          <w:p>
            <w:pPr>
              <w:jc w:val="left"/>
            </w:pPr>
            <w:r>
              <w:rPr>
                <w:b w:val="0"/>
                <w:i w:val="0"/>
                <w:color w:val="1E293B"/>
                <w:sz w:val="19"/>
              </w:rPr>
              <w:t>Scoring the entire existing 6,483 borrower base in one go. Re-scoring all borrowers when lender policies change. No latency requirement.</w:t>
            </w:r>
          </w:p>
        </w:tc>
        <w:tc>
          <w:tcPr>
            <w:tcW w:type="dxa" w:w="2353"/>
            <w:shd w:val="clear" w:color="auto" w:fill="FFFFFF"/>
          </w:tcPr>
          <w:p>
            <w:pPr>
              <w:jc w:val="left"/>
            </w:pPr>
            <w:r>
              <w:rPr>
                <w:b w:val="0"/>
                <w:i w:val="0"/>
                <w:color w:val="1E293B"/>
                <w:sz w:val="19"/>
              </w:rPr>
              <w:t>Script runs on cloud (cron job).</w:t>
              <w:br/>
              <w:t>FinnUp grants DB read-access.</w:t>
              <w:br/>
              <w:t>Estimated effort: 2-3 days</w:t>
            </w:r>
          </w:p>
        </w:tc>
      </w:tr>
    </w:tbl>
    <w:p>
      <w:pPr>
        <w:spacing w:before="0" w:after="80"/>
        <w:jc w:val="left"/>
      </w:pPr>
    </w:p>
    <w:p>
      <w:pPr>
        <w:spacing w:before="40" w:after="40"/>
        <w:pBdr>
          <w:bottom w:val="single" w:sz="6" w:space="1" w:color="0D9488"/>
        </w:pBdr>
      </w:pPr>
    </w:p>
    <w:p>
      <w:pPr>
        <w:pStyle w:val="Heading2"/>
        <w:spacing w:before="240" w:after="80"/>
      </w:pPr>
      <w:r>
        <w:rPr>
          <w:rFonts w:ascii="Calibri" w:hAnsi="Calibri"/>
          <w:color w:val="1B3A6B"/>
        </w:rPr>
        <w:t>6.4  Weeks 5, 6 and 7 Explained Simply</w:t>
      </w:r>
    </w:p>
    <w:tbl>
      <w:tblPr>
        <w:tblStyle w:val="TableGrid"/>
        <w:tblW w:type="auto" w:w="0"/>
        <w:tblLook w:firstColumn="1" w:firstRow="1" w:lastColumn="0" w:lastRow="0" w:noHBand="0" w:noVBand="1" w:val="04A0"/>
      </w:tblPr>
      <w:tblGrid>
        <w:gridCol w:w="9412"/>
      </w:tblGrid>
      <w:tr>
        <w:tc>
          <w:tcPr>
            <w:tcW w:type="dxa" w:w="9412"/>
            <w:shd w:val="clear" w:color="auto" w:fill="7C3AED"/>
          </w:tcPr>
          <w:p>
            <w:pPr>
              <w:jc w:val="left"/>
            </w:pPr>
            <w:r>
              <w:rPr>
                <w:b/>
                <w:i w:val="0"/>
                <w:color w:val="FFFFFF"/>
                <w:sz w:val="24"/>
              </w:rPr>
              <w:t>WEEK 5  (5-9 May) — Stage 2 Lender Ranking + Model Card</w:t>
            </w:r>
          </w:p>
        </w:tc>
      </w:tr>
      <w:tr>
        <w:tc>
          <w:tcPr>
            <w:tcW w:type="dxa" w:w="9412"/>
            <w:shd w:val="clear" w:color="auto" w:fill="F5F7FA"/>
          </w:tcPr>
          <w:p>
            <w:r>
              <w:rPr>
                <w:rFonts w:ascii="Calibri" w:hAnsi="Calibri"/>
                <w:color w:val="1E293B"/>
                <w:sz w:val="20"/>
              </w:rPr>
              <w:t>What is Stage 2?</w:t>
              <w:br/>
              <w:t>Week 4's XGBoost model outputs P(approval) per borrower. But FinnUp has 10+ lenders — which specific ones do we recommend to THIS borrower? Stage 2 answers that.</w:t>
              <w:br/>
              <w:br/>
              <w:t>How it works (3 steps):</w:t>
              <w:br/>
              <w:t xml:space="preserve">  Step A: Run lender policy rules — filter out lenders whose hard requirements fail</w:t>
              <w:br/>
              <w:t xml:space="preserve">  Step B: For each remaining eligible lender, run XGBoost to get their P(approval)</w:t>
              <w:br/>
              <w:t xml:space="preserve">  Step C: Rank eligible lenders from highest to lowest score — top 3 become the recommendation</w:t>
              <w:br/>
              <w:br/>
              <w:t>Example:</w:t>
              <w:br/>
              <w:t xml:space="preserve">  Borrower: Director CIBIL 720, Turnover Rs 40L</w:t>
              <w:br/>
              <w:t xml:space="preserve">  8 of 10 lenders pass the hard rules filter</w:t>
              <w:br/>
              <w:t xml:space="preserve">  XGBoost scores them: A=0.82, E=0.71, C=0.65, D=0.55...</w:t>
              <w:br/>
              <w:t xml:space="preserve">  Final output: 'Top 3 recommended: Lender A, E, C'</w:t>
              <w:br/>
              <w:br/>
              <w:t>What is the Model Card?</w:t>
              <w:br/>
              <w:t>A 2-page document (like a product datasheet) formally describing the model:</w:t>
              <w:br/>
              <w:t xml:space="preserve">  &gt; What it predicts and what data it was trained on</w:t>
              <w:br/>
              <w:t xml:space="preserve">  &gt; Performance metrics: AUC-ROC, Precision, Recall on the test set</w:t>
              <w:br/>
              <w:t xml:space="preserve">  &gt; Known limitations: small dataset size, proxy labels used instead of true outcomes</w:t>
              <w:br/>
              <w:t xml:space="preserve">  &gt; Fairness analysis: does the model score differently by state or company type?</w:t>
              <w:br/>
              <w:t xml:space="preserve">  &gt; Intended use warnings (what the model should and should not be used for)</w:t>
              <w:br/>
              <w:t>Required by IIM Calcutta for the final submission and by FinnUp for compliance records.</w:t>
            </w:r>
          </w:p>
        </w:tc>
      </w:tr>
    </w:tbl>
    <w:p>
      <w:pPr>
        <w:spacing w:before="0" w:after="80"/>
        <w:jc w:val="left"/>
      </w:pPr>
    </w:p>
    <w:tbl>
      <w:tblPr>
        <w:tblStyle w:val="TableGrid"/>
        <w:tblW w:type="auto" w:w="0"/>
        <w:tblLook w:firstColumn="1" w:firstRow="1" w:lastColumn="0" w:lastRow="0" w:noHBand="0" w:noVBand="1" w:val="04A0"/>
      </w:tblPr>
      <w:tblGrid>
        <w:gridCol w:w="9412"/>
      </w:tblGrid>
      <w:tr>
        <w:tc>
          <w:tcPr>
            <w:tcW w:type="dxa" w:w="9412"/>
            <w:shd w:val="clear" w:color="auto" w:fill="1B3A6B"/>
          </w:tcPr>
          <w:p>
            <w:pPr>
              <w:jc w:val="left"/>
            </w:pPr>
            <w:r>
              <w:rPr>
                <w:b/>
                <w:i w:val="0"/>
                <w:color w:val="FFFFFF"/>
                <w:sz w:val="24"/>
              </w:rPr>
              <w:t>WEEK 6  (12-16 May) — REST API Development</w:t>
            </w:r>
          </w:p>
        </w:tc>
      </w:tr>
      <w:tr>
        <w:tc>
          <w:tcPr>
            <w:tcW w:type="dxa" w:w="9412"/>
            <w:shd w:val="clear" w:color="auto" w:fill="F5F7FA"/>
          </w:tcPr>
          <w:p>
            <w:r>
              <w:rPr>
                <w:rFonts w:ascii="Calibri" w:hAnsi="Calibri"/>
                <w:color w:val="1E293B"/>
                <w:sz w:val="20"/>
              </w:rPr>
              <w:t>What is FastAPI?</w:t>
              <w:br/>
              <w:t>FastAPI is a Python framework for building web services (like Django builds websites, FastAPI builds APIs). All the scoring logic — feature pipeline + model + lender ranking — is wrapped inside this API so FinnUp's system can call it without knowing the internal code.</w:t>
              <w:br/>
              <w:br/>
              <w:t>What endpoints are built?</w:t>
              <w:br/>
              <w:t xml:space="preserve">  POST /v1/score</w:t>
              <w:br/>
              <w:t xml:space="preserve">    Send: one borrower's raw data as JSON</w:t>
              <w:br/>
              <w:t xml:space="preserve">    Receive: credit score, risk band, top lenders, SHAP explanation</w:t>
              <w:br/>
              <w:t xml:space="preserve">    Used by: FinnUp webhook (real-time, one borrower at a time)</w:t>
              <w:br/>
              <w:br/>
              <w:t xml:space="preserve">  POST /v1/score/batch</w:t>
              <w:br/>
              <w:t xml:space="preserve">    Send: list of borrowers as JSON array</w:t>
              <w:br/>
              <w:t xml:space="preserve">    Receive: scores for all of them in one call</w:t>
              <w:br/>
              <w:t xml:space="preserve">    Used by: nightly batch job</w:t>
              <w:br/>
              <w:br/>
              <w:t xml:space="preserve">  GET /v1/lenders/match?borrower_id=B12345</w:t>
              <w:br/>
              <w:t xml:space="preserve">    Returns: cached lender match list for that borrower</w:t>
              <w:br/>
              <w:t xml:space="preserve">    Used by: FinnUp dashboard to display the recommendation</w:t>
              <w:br/>
              <w:br/>
              <w:t xml:space="preserve">  GET /v1/health</w:t>
              <w:br/>
              <w:t xml:space="preserve">    Returns: API status, model version, last updated</w:t>
              <w:br/>
              <w:t xml:space="preserve">    Used by: monitoring to confirm API is alive</w:t>
              <w:br/>
              <w:br/>
              <w:t>How is security handled?</w:t>
              <w:br/>
              <w:t xml:space="preserve">  &gt; API Key: FinnUp includes a secret key in every request — invalid keys rejected</w:t>
              <w:br/>
              <w:t xml:space="preserve">  &gt; Input validation: Pydantic checks every field before it reaches the model</w:t>
              <w:br/>
              <w:t xml:space="preserve">  &gt; HTTPS only: all traffic encrypted in transit</w:t>
              <w:br/>
              <w:t xml:space="preserve">  &gt; Audit log: every call logged with timestamp and borrower ID (no PII in logs)</w:t>
              <w:br/>
              <w:br/>
              <w:t>What is Docker?</w:t>
              <w:br/>
              <w:t>Docker packages the entire application (code + model file + dependencies) into a self-contained container that runs identically on any computer or cloud server. This means: no 'works on my machine' issues, easy to deploy to AWS or Azure with one command, and easy to update the model without downtime.</w:t>
            </w:r>
          </w:p>
        </w:tc>
      </w:tr>
    </w:tbl>
    <w:p>
      <w:pPr>
        <w:spacing w:before="0" w:after="80"/>
        <w:jc w:val="left"/>
      </w:pPr>
    </w:p>
    <w:tbl>
      <w:tblPr>
        <w:tblStyle w:val="TableGrid"/>
        <w:tblW w:type="auto" w:w="0"/>
        <w:tblLook w:firstColumn="1" w:firstRow="1" w:lastColumn="0" w:lastRow="0" w:noHBand="0" w:noVBand="1" w:val="04A0"/>
      </w:tblPr>
      <w:tblGrid>
        <w:gridCol w:w="9412"/>
      </w:tblGrid>
      <w:tr>
        <w:tc>
          <w:tcPr>
            <w:tcW w:type="dxa" w:w="9412"/>
            <w:shd w:val="clear" w:color="auto" w:fill="0D9488"/>
          </w:tcPr>
          <w:p>
            <w:pPr>
              <w:jc w:val="left"/>
            </w:pPr>
            <w:r>
              <w:rPr>
                <w:b/>
                <w:i w:val="0"/>
                <w:color w:val="FFFFFF"/>
                <w:sz w:val="24"/>
              </w:rPr>
              <w:t>WEEK 7  (19-23 May) — FinnUp Integration &amp; UAT</w:t>
            </w:r>
          </w:p>
        </w:tc>
      </w:tr>
      <w:tr>
        <w:tc>
          <w:tcPr>
            <w:tcW w:type="dxa" w:w="9412"/>
            <w:shd w:val="clear" w:color="auto" w:fill="F5F7FA"/>
          </w:tcPr>
          <w:p>
            <w:r>
              <w:rPr>
                <w:rFonts w:ascii="Calibri" w:hAnsi="Calibri"/>
                <w:color w:val="1E293B"/>
                <w:sz w:val="20"/>
              </w:rPr>
              <w:t>Deployment to cloud:</w:t>
              <w:br/>
              <w:t>The Docker container from Week 6 is deployed to a cloud server (AWS or Azure). This gives the API a real public HTTPS URL (e.g. https://api.finnup-scoring.com). The server is always on, auto-scales, and has the model loaded in memory.</w:t>
              <w:br/>
              <w:br/>
              <w:t>FinnUp integration — 3 steps (done jointly with FinnUp Tech team):</w:t>
              <w:br/>
              <w:t xml:space="preserve">  Step 1: We share the API URL + FinnUp's API key with their tech team</w:t>
              <w:br/>
              <w:t xml:space="preserve">  Step 2: FinnUp's developer adds the POST call to their registration form (1-day task)</w:t>
              <w:br/>
              <w:t xml:space="preserve">  Step 3: FinnUp maps credit_score, risk_band, top_lender_matches from API response into fields in their borrower database for display on the dashboard</w:t>
              <w:br/>
              <w:br/>
              <w:t>What is UAT (User Acceptance Testing)?</w:t>
              <w:br/>
              <w:t>After the API is live and connected, we run a formal test with FinnUp's team:</w:t>
              <w:br/>
              <w:t xml:space="preserve">  &gt; Take 200 real FinnUp borrowers whose outcomes are known</w:t>
              <w:br/>
              <w:t xml:space="preserve">  &gt; Send them through the API and review the scores + lender recommendations</w:t>
              <w:br/>
              <w:t xml:space="preserve">  &gt; FinnUp's team checks: do the recommended lenders make sense for these borrowers?</w:t>
              <w:br/>
              <w:t xml:space="preserve">  &gt; Are the SHAP explanations understandable to a loan officer?</w:t>
              <w:br/>
              <w:t xml:space="preserve">  &gt; Is the scorecard format clear on the lender dashboard?</w:t>
              <w:br/>
              <w:t xml:space="preserve">  &gt; Are there edge cases where the API fails or gives unexpected results?</w:t>
              <w:br/>
              <w:t>UAT sign-off from FinnUp is required before calling the system production-ready.</w:t>
            </w:r>
          </w:p>
        </w:tc>
      </w:tr>
    </w:tbl>
    <w:p>
      <w:pPr>
        <w:spacing w:before="0" w:after="80"/>
        <w:jc w:val="left"/>
      </w:pPr>
    </w:p>
    <w:p>
      <w:pPr>
        <w:spacing w:before="40" w:after="40"/>
        <w:pBdr>
          <w:bottom w:val="single" w:sz="6" w:space="1" w:color="0D9488"/>
        </w:pBdr>
      </w:pPr>
    </w:p>
    <w:p>
      <w:r>
        <w:br w:type="page"/>
      </w:r>
    </w:p>
    <w:tbl>
      <w:tblPr>
        <w:tblW w:type="auto" w:w="0"/>
        <w:jc w:val="left"/>
        <w:tblLook w:firstColumn="1" w:firstRow="1" w:lastColumn="0" w:lastRow="0" w:noHBand="0" w:noVBand="1" w:val="04A0"/>
      </w:tblPr>
      <w:tblGrid>
        <w:gridCol w:w="9412"/>
      </w:tblGrid>
      <w:tr>
        <w:tc>
          <w:tcPr>
            <w:tcW w:type="dxa" w:w="9072"/>
            <w:shd w:val="clear" w:color="auto" w:fill="1B3A6B"/>
          </w:tcPr>
          <w:p>
            <w:pPr>
              <w:spacing w:before="80" w:after="80"/>
              <w:jc w:val="left"/>
            </w:pPr>
            <w:r>
              <w:rPr>
                <w:b/>
                <w:i w:val="0"/>
                <w:color w:val="FFFFFF"/>
                <w:sz w:val="26"/>
              </w:rPr>
              <w:t>SECTION 7 — FINAL DELIVERABLES FOR IIM CALCUTTA</w:t>
            </w:r>
          </w:p>
        </w:tc>
      </w:tr>
    </w:tbl>
    <w:p/>
    <w:p>
      <w:pPr>
        <w:pStyle w:val="Heading2"/>
        <w:spacing w:before="240" w:after="80"/>
      </w:pPr>
      <w:r>
        <w:rPr>
          <w:rFonts w:ascii="Calibri" w:hAnsi="Calibri"/>
          <w:color w:val="1B3A6B"/>
        </w:rPr>
        <w:t>What will be submitted by 31 May 2026:</w:t>
      </w:r>
    </w:p>
    <w:p>
      <w:pPr>
        <w:pStyle w:val="ListBullet"/>
        <w:spacing w:after="40"/>
        <w:ind w:left="432"/>
      </w:pPr>
      <w:r>
        <w:rPr>
          <w:rFonts w:ascii="Calibri" w:hAnsi="Calibri"/>
          <w:b/>
          <w:color w:val="0D9488"/>
          <w:sz w:val="21"/>
        </w:rPr>
        <w:t xml:space="preserve">◉ </w:t>
      </w:r>
      <w:r>
        <w:rPr>
          <w:rFonts w:ascii="Calibri" w:hAnsi="Calibri"/>
          <w:sz w:val="21"/>
        </w:rPr>
        <w:t>Project Report (this document, updated) — Full write-up of problem, methodology, data, model, results, and business impact</w:t>
      </w:r>
    </w:p>
    <w:p>
      <w:pPr>
        <w:pStyle w:val="ListBullet"/>
        <w:spacing w:after="40"/>
        <w:ind w:left="432"/>
      </w:pPr>
      <w:r>
        <w:rPr>
          <w:rFonts w:ascii="Calibri" w:hAnsi="Calibri"/>
          <w:b/>
          <w:color w:val="0D9488"/>
          <w:sz w:val="21"/>
        </w:rPr>
        <w:t xml:space="preserve">◉ </w:t>
      </w:r>
      <w:r>
        <w:rPr>
          <w:rFonts w:ascii="Calibri" w:hAnsi="Calibri"/>
          <w:sz w:val="21"/>
        </w:rPr>
        <w:t>EDA Report (PowerPoint) — Auto-generated EDA deck (FinnUp_EDA_Report.pptx) — already complete</w:t>
      </w:r>
    </w:p>
    <w:p>
      <w:pPr>
        <w:pStyle w:val="ListBullet"/>
        <w:spacing w:after="40"/>
        <w:ind w:left="432"/>
      </w:pPr>
      <w:r>
        <w:rPr>
          <w:rFonts w:ascii="Calibri" w:hAnsi="Calibri"/>
          <w:b/>
          <w:color w:val="0D9488"/>
          <w:sz w:val="21"/>
        </w:rPr>
        <w:t xml:space="preserve">◉ </w:t>
      </w:r>
      <w:r>
        <w:rPr>
          <w:rFonts w:ascii="Calibri" w:hAnsi="Calibri"/>
          <w:sz w:val="21"/>
        </w:rPr>
        <w:t>Feature Engineering Notebook — 02_feature_engineering.ipynb — documented feature pipeline with rationale</w:t>
      </w:r>
    </w:p>
    <w:p>
      <w:pPr>
        <w:pStyle w:val="ListBullet"/>
        <w:spacing w:after="40"/>
        <w:ind w:left="432"/>
      </w:pPr>
      <w:r>
        <w:rPr>
          <w:rFonts w:ascii="Calibri" w:hAnsi="Calibri"/>
          <w:b/>
          <w:color w:val="0D9488"/>
          <w:sz w:val="21"/>
        </w:rPr>
        <w:t xml:space="preserve">◉ </w:t>
      </w:r>
      <w:r>
        <w:rPr>
          <w:rFonts w:ascii="Calibri" w:hAnsi="Calibri"/>
          <w:sz w:val="21"/>
        </w:rPr>
        <w:t>Model Training Notebook — 03_model_training.ipynb — XGBoost model with SHAP, AUC-ROC charts, validation results</w:t>
      </w:r>
    </w:p>
    <w:p>
      <w:pPr>
        <w:pStyle w:val="ListBullet"/>
        <w:spacing w:after="40"/>
        <w:ind w:left="432"/>
      </w:pPr>
      <w:r>
        <w:rPr>
          <w:rFonts w:ascii="Calibri" w:hAnsi="Calibri"/>
          <w:b/>
          <w:color w:val="0D9488"/>
          <w:sz w:val="21"/>
        </w:rPr>
        <w:t xml:space="preserve">◉ </w:t>
      </w:r>
      <w:r>
        <w:rPr>
          <w:rFonts w:ascii="Calibri" w:hAnsi="Calibri"/>
          <w:sz w:val="21"/>
        </w:rPr>
        <w:t>Model Card — Formal model card: performance, fairness audit, known limitations, intended use</w:t>
      </w:r>
    </w:p>
    <w:p>
      <w:pPr>
        <w:pStyle w:val="ListBullet"/>
        <w:spacing w:after="40"/>
        <w:ind w:left="432"/>
      </w:pPr>
      <w:r>
        <w:rPr>
          <w:rFonts w:ascii="Calibri" w:hAnsi="Calibri"/>
          <w:b/>
          <w:color w:val="0D9488"/>
          <w:sz w:val="21"/>
        </w:rPr>
        <w:t xml:space="preserve">◉ </w:t>
      </w:r>
      <w:r>
        <w:rPr>
          <w:rFonts w:ascii="Calibri" w:hAnsi="Calibri"/>
          <w:sz w:val="21"/>
        </w:rPr>
        <w:t>API Documentation — OpenAPI/Swagger documentation for the REST scoring endpoint</w:t>
      </w:r>
    </w:p>
    <w:p>
      <w:pPr>
        <w:pStyle w:val="ListBullet"/>
        <w:spacing w:after="40"/>
        <w:ind w:left="432"/>
      </w:pPr>
      <w:r>
        <w:rPr>
          <w:rFonts w:ascii="Calibri" w:hAnsi="Calibri"/>
          <w:b/>
          <w:color w:val="0D9488"/>
          <w:sz w:val="21"/>
        </w:rPr>
        <w:t xml:space="preserve">◉ </w:t>
      </w:r>
      <w:r>
        <w:rPr>
          <w:rFonts w:ascii="Calibri" w:hAnsi="Calibri"/>
          <w:sz w:val="21"/>
        </w:rPr>
        <w:t>Business Impact Report — Measured or projected improvement over rules-based system (A/B comparison)</w:t>
      </w:r>
    </w:p>
    <w:p>
      <w:pPr>
        <w:pStyle w:val="ListBullet"/>
        <w:spacing w:after="40"/>
        <w:ind w:left="432"/>
      </w:pPr>
      <w:r>
        <w:rPr>
          <w:rFonts w:ascii="Calibri" w:hAnsi="Calibri"/>
          <w:b/>
          <w:color w:val="0D9488"/>
          <w:sz w:val="21"/>
        </w:rPr>
        <w:t xml:space="preserve">◉ </w:t>
      </w:r>
      <w:r>
        <w:rPr>
          <w:rFonts w:ascii="Calibri" w:hAnsi="Calibri"/>
          <w:sz w:val="21"/>
        </w:rPr>
        <w:t>Final Presentation (PowerPoint) — Updated from this interim submission — includes model results and live demo screenshots</w:t>
      </w:r>
    </w:p>
    <w:p>
      <w:pPr>
        <w:pStyle w:val="ListBullet"/>
        <w:spacing w:after="40"/>
        <w:ind w:left="432"/>
      </w:pPr>
      <w:r>
        <w:rPr>
          <w:rFonts w:ascii="Calibri" w:hAnsi="Calibri"/>
          <w:b/>
          <w:color w:val="0D9488"/>
          <w:sz w:val="21"/>
        </w:rPr>
        <w:t xml:space="preserve">◉ </w:t>
      </w:r>
      <w:r>
        <w:rPr>
          <w:rFonts w:ascii="Calibri" w:hAnsi="Calibri"/>
          <w:sz w:val="21"/>
        </w:rPr>
        <w:t>GitHub / Code Repository — Complete codebase: loader, feature engineering, model training, API — all documented</w:t>
      </w:r>
    </w:p>
    <w:p>
      <w:pPr>
        <w:pStyle w:val="ListBullet"/>
        <w:spacing w:after="40"/>
        <w:ind w:left="432"/>
      </w:pPr>
      <w:r>
        <w:rPr>
          <w:rFonts w:ascii="Calibri" w:hAnsi="Calibri"/>
          <w:b/>
          <w:color w:val="0D9488"/>
          <w:sz w:val="21"/>
        </w:rPr>
        <w:t xml:space="preserve">◉ </w:t>
      </w:r>
      <w:r>
        <w:rPr>
          <w:rFonts w:ascii="Calibri" w:hAnsi="Calibri"/>
          <w:sz w:val="21"/>
        </w:rPr>
        <w:t>Demo Recording (optional) — Short video of the live scoring API returning results for a sample borrower</w:t>
      </w:r>
    </w:p>
    <w:p>
      <w:pPr>
        <w:spacing w:before="0" w:after="80"/>
        <w:jc w:val="left"/>
      </w:pPr>
    </w:p>
    <w:p>
      <w:pPr>
        <w:spacing w:before="40" w:after="40"/>
        <w:pBdr>
          <w:bottom w:val="single" w:sz="6" w:space="1" w:color="0D9488"/>
        </w:pBdr>
      </w:pPr>
    </w:p>
    <w:tbl>
      <w:tblPr>
        <w:tblW w:type="auto" w:w="0"/>
        <w:jc w:val="left"/>
        <w:tblLook w:firstColumn="1" w:firstRow="1" w:lastColumn="0" w:lastRow="0" w:noHBand="0" w:noVBand="1" w:val="04A0"/>
      </w:tblPr>
      <w:tblGrid>
        <w:gridCol w:w="9412"/>
      </w:tblGrid>
      <w:tr>
        <w:tc>
          <w:tcPr>
            <w:tcW w:type="dxa" w:w="9072"/>
            <w:shd w:val="clear" w:color="auto" w:fill="EF4444"/>
          </w:tcPr>
          <w:p>
            <w:pPr>
              <w:spacing w:before="80" w:after="80"/>
              <w:jc w:val="left"/>
            </w:pPr>
            <w:r>
              <w:rPr>
                <w:b/>
                <w:i w:val="0"/>
                <w:color w:val="FFFFFF"/>
                <w:sz w:val="26"/>
              </w:rPr>
              <w:t>SECTION 8 — OPEN BLOCKERS &amp; REQUIRED ACTIONS</w:t>
            </w:r>
          </w:p>
        </w:tc>
      </w:tr>
    </w:tbl>
    <w:p/>
    <w:p>
      <w:pPr>
        <w:pStyle w:val="Heading2"/>
        <w:spacing w:before="240" w:after="80"/>
      </w:pPr>
      <w:r>
        <w:rPr>
          <w:rFonts w:ascii="Calibri" w:hAnsi="Calibri"/>
          <w:color w:val="1B3A6B"/>
        </w:rPr>
        <w:t>Critical items requiring immediate action (Week 1):</w:t>
      </w:r>
    </w:p>
    <w:tbl>
      <w:tblPr>
        <w:tblStyle w:val="TableGrid"/>
        <w:tblW w:type="auto" w:w="0"/>
        <w:tblLook w:firstColumn="1" w:firstRow="1" w:lastColumn="0" w:lastRow="0" w:noHBand="0" w:noVBand="1" w:val="04A0"/>
      </w:tblPr>
      <w:tblGrid>
        <w:gridCol w:w="3137"/>
        <w:gridCol w:w="3137"/>
        <w:gridCol w:w="3137"/>
      </w:tblGrid>
      <w:tr>
        <w:tc>
          <w:tcPr>
            <w:tcW w:type="dxa" w:w="3137"/>
            <w:shd w:val="clear" w:color="auto" w:fill="EF4444"/>
          </w:tcPr>
          <w:p>
            <w:pPr>
              <w:jc w:val="left"/>
            </w:pPr>
            <w:r>
              <w:rPr>
                <w:b/>
                <w:i w:val="0"/>
                <w:color w:val="FFFFFF"/>
                <w:sz w:val="21"/>
              </w:rPr>
              <w:t>Item</w:t>
            </w:r>
          </w:p>
        </w:tc>
        <w:tc>
          <w:tcPr>
            <w:tcW w:type="dxa" w:w="3137"/>
            <w:shd w:val="clear" w:color="auto" w:fill="EF4444"/>
          </w:tcPr>
          <w:p>
            <w:pPr>
              <w:jc w:val="left"/>
            </w:pPr>
            <w:r>
              <w:rPr>
                <w:b/>
                <w:i w:val="0"/>
                <w:color w:val="FFFFFF"/>
                <w:sz w:val="21"/>
              </w:rPr>
              <w:t>Priority</w:t>
            </w:r>
          </w:p>
        </w:tc>
        <w:tc>
          <w:tcPr>
            <w:tcW w:type="dxa" w:w="3137"/>
            <w:shd w:val="clear" w:color="auto" w:fill="EF4444"/>
          </w:tcPr>
          <w:p>
            <w:pPr>
              <w:jc w:val="left"/>
            </w:pPr>
            <w:r>
              <w:rPr>
                <w:b/>
                <w:i w:val="0"/>
                <w:color w:val="FFFFFF"/>
                <w:sz w:val="21"/>
              </w:rPr>
              <w:t>Detail</w:t>
            </w:r>
          </w:p>
        </w:tc>
      </w:tr>
      <w:tr>
        <w:tc>
          <w:tcPr>
            <w:tcW w:type="dxa" w:w="3137"/>
            <w:shd w:val="clear" w:color="auto" w:fill="F5F7FA"/>
          </w:tcPr>
          <w:p>
            <w:pPr>
              <w:jc w:val="left"/>
            </w:pPr>
            <w:r>
              <w:rPr>
                <w:b/>
                <w:i w:val="0"/>
                <w:color w:val="1B3A6B"/>
                <w:sz w:val="20"/>
              </w:rPr>
              <w:t>🔴 Outcome Labels from FinnUp CRM</w:t>
            </w:r>
          </w:p>
        </w:tc>
        <w:tc>
          <w:tcPr>
            <w:tcW w:type="dxa" w:w="3137"/>
            <w:shd w:val="clear" w:color="auto" w:fill="F5F7FA"/>
          </w:tcPr>
          <w:p>
            <w:pPr>
              <w:jc w:val="left"/>
            </w:pPr>
            <w:r>
              <w:rPr>
                <w:b/>
                <w:i w:val="0"/>
                <w:color w:val="EF4444"/>
                <w:sz w:val="20"/>
              </w:rPr>
              <w:t>CRITICAL BLOCKER</w:t>
            </w:r>
          </w:p>
        </w:tc>
        <w:tc>
          <w:tcPr>
            <w:tcW w:type="dxa" w:w="3137"/>
            <w:shd w:val="clear" w:color="auto" w:fill="F5F7FA"/>
          </w:tcPr>
          <w:p>
            <w:pPr>
              <w:jc w:val="left"/>
            </w:pPr>
            <w:r>
              <w:rPr>
                <w:b w:val="0"/>
                <w:i w:val="0"/>
                <w:color w:val="1E293B"/>
                <w:sz w:val="20"/>
              </w:rPr>
              <w:t>Request approved/rejected/disbursed status per borrower-loan pair. Export from LOS/CRM team. Even 1,000 labelled records unblock Phase 3. FinnUp Status (YES/NO) will serve as interim proxy.</w:t>
            </w:r>
          </w:p>
        </w:tc>
      </w:tr>
      <w:tr>
        <w:tc>
          <w:tcPr>
            <w:tcW w:type="dxa" w:w="3137"/>
            <w:shd w:val="clear" w:color="auto" w:fill="FFFFFF"/>
          </w:tcPr>
          <w:p>
            <w:pPr>
              <w:jc w:val="left"/>
            </w:pPr>
            <w:r>
              <w:rPr>
                <w:b/>
                <w:i w:val="0"/>
                <w:color w:val="1B3A6B"/>
                <w:sz w:val="20"/>
              </w:rPr>
              <w:t>🔴 Lender Policy File Confirmation</w:t>
            </w:r>
          </w:p>
        </w:tc>
        <w:tc>
          <w:tcPr>
            <w:tcW w:type="dxa" w:w="3137"/>
            <w:shd w:val="clear" w:color="auto" w:fill="FFFFFF"/>
          </w:tcPr>
          <w:p>
            <w:pPr>
              <w:jc w:val="left"/>
            </w:pPr>
            <w:r>
              <w:rPr>
                <w:b/>
                <w:i w:val="0"/>
                <w:color w:val="EF4444"/>
                <w:sz w:val="20"/>
              </w:rPr>
              <w:t>CRITICAL BLOCKER</w:t>
            </w:r>
          </w:p>
        </w:tc>
        <w:tc>
          <w:tcPr>
            <w:tcW w:type="dxa" w:w="3137"/>
            <w:shd w:val="clear" w:color="auto" w:fill="FFFFFF"/>
          </w:tcPr>
          <w:p>
            <w:pPr>
              <w:jc w:val="left"/>
            </w:pPr>
            <w:r>
              <w:rPr>
                <w:b w:val="0"/>
                <w:i w:val="0"/>
                <w:color w:val="1E293B"/>
                <w:sz w:val="20"/>
              </w:rPr>
              <w:t>Confirm /data/lender_policies/ is complete and up to date. Each lender's minimum CIBIL, turnover floor, sector whitelist, and ticket range is needed.</w:t>
            </w:r>
          </w:p>
        </w:tc>
      </w:tr>
      <w:tr>
        <w:tc>
          <w:tcPr>
            <w:tcW w:type="dxa" w:w="3137"/>
            <w:shd w:val="clear" w:color="auto" w:fill="F5F7FA"/>
          </w:tcPr>
          <w:p>
            <w:pPr>
              <w:jc w:val="left"/>
            </w:pPr>
            <w:r>
              <w:rPr>
                <w:b/>
                <w:i w:val="0"/>
                <w:color w:val="1B3A6B"/>
                <w:sz w:val="20"/>
              </w:rPr>
              <w:t>🟡 More Borrower Records</w:t>
            </w:r>
          </w:p>
        </w:tc>
        <w:tc>
          <w:tcPr>
            <w:tcW w:type="dxa" w:w="3137"/>
            <w:shd w:val="clear" w:color="auto" w:fill="F5F7FA"/>
          </w:tcPr>
          <w:p>
            <w:pPr>
              <w:jc w:val="left"/>
            </w:pPr>
            <w:r>
              <w:rPr>
                <w:b/>
                <w:i w:val="0"/>
                <w:color w:val="F59E0B"/>
                <w:sz w:val="20"/>
              </w:rPr>
              <w:t>IMPORTANT</w:t>
            </w:r>
          </w:p>
        </w:tc>
        <w:tc>
          <w:tcPr>
            <w:tcW w:type="dxa" w:w="3137"/>
            <w:shd w:val="clear" w:color="auto" w:fill="F5F7FA"/>
          </w:tcPr>
          <w:p>
            <w:pPr>
              <w:jc w:val="left"/>
            </w:pPr>
            <w:r>
              <w:rPr>
                <w:b w:val="0"/>
                <w:i w:val="0"/>
                <w:color w:val="1E293B"/>
                <w:sz w:val="20"/>
              </w:rPr>
              <w:t>Request all new registrations since original export. Also request historical data going back 3+ years. Target: 10,000+ borrower records for reliable model training.</w:t>
            </w:r>
          </w:p>
        </w:tc>
      </w:tr>
      <w:tr>
        <w:tc>
          <w:tcPr>
            <w:tcW w:type="dxa" w:w="3137"/>
            <w:shd w:val="clear" w:color="auto" w:fill="FFFFFF"/>
          </w:tcPr>
          <w:p>
            <w:pPr>
              <w:jc w:val="left"/>
            </w:pPr>
            <w:r>
              <w:rPr>
                <w:b/>
                <w:i w:val="0"/>
                <w:color w:val="1B3A6B"/>
                <w:sz w:val="20"/>
              </w:rPr>
              <w:t>🟡 Bank Statement / AA Coverage</w:t>
            </w:r>
          </w:p>
        </w:tc>
        <w:tc>
          <w:tcPr>
            <w:tcW w:type="dxa" w:w="3137"/>
            <w:shd w:val="clear" w:color="auto" w:fill="FFFFFF"/>
          </w:tcPr>
          <w:p>
            <w:pPr>
              <w:jc w:val="left"/>
            </w:pPr>
            <w:r>
              <w:rPr>
                <w:b/>
                <w:i w:val="0"/>
                <w:color w:val="F59E0B"/>
                <w:sz w:val="20"/>
              </w:rPr>
              <w:t>IMPORTANT</w:t>
            </w:r>
          </w:p>
        </w:tc>
        <w:tc>
          <w:tcPr>
            <w:tcW w:type="dxa" w:w="3137"/>
            <w:shd w:val="clear" w:color="auto" w:fill="FFFFFF"/>
          </w:tcPr>
          <w:p>
            <w:pPr>
              <w:jc w:val="left"/>
            </w:pPr>
            <w:r>
              <w:rPr>
                <w:b w:val="0"/>
                <w:i w:val="0"/>
                <w:color w:val="1E293B"/>
                <w:sz w:val="20"/>
              </w:rPr>
              <w:t>Confirm whether Account Aggregator consent data is available for the 62% uncovered. Even a push to 50% bank coverage significantly improves model quality.</w:t>
            </w:r>
          </w:p>
        </w:tc>
      </w:tr>
      <w:tr>
        <w:tc>
          <w:tcPr>
            <w:tcW w:type="dxa" w:w="3137"/>
            <w:shd w:val="clear" w:color="auto" w:fill="F5F7FA"/>
          </w:tcPr>
          <w:p>
            <w:pPr>
              <w:jc w:val="left"/>
            </w:pPr>
            <w:r>
              <w:rPr>
                <w:b/>
                <w:i w:val="0"/>
                <w:color w:val="1B3A6B"/>
                <w:sz w:val="20"/>
              </w:rPr>
              <w:t>⚪ FinnUp Tech Team Contact</w:t>
            </w:r>
          </w:p>
        </w:tc>
        <w:tc>
          <w:tcPr>
            <w:tcW w:type="dxa" w:w="3137"/>
            <w:shd w:val="clear" w:color="auto" w:fill="F5F7FA"/>
          </w:tcPr>
          <w:p>
            <w:pPr>
              <w:jc w:val="left"/>
            </w:pPr>
            <w:r>
              <w:rPr>
                <w:b/>
                <w:i w:val="0"/>
                <w:color w:val="64748B"/>
                <w:sz w:val="20"/>
              </w:rPr>
              <w:t>NICE TO HAVE</w:t>
            </w:r>
          </w:p>
        </w:tc>
        <w:tc>
          <w:tcPr>
            <w:tcW w:type="dxa" w:w="3137"/>
            <w:shd w:val="clear" w:color="auto" w:fill="F5F7FA"/>
          </w:tcPr>
          <w:p>
            <w:pPr>
              <w:jc w:val="left"/>
            </w:pPr>
            <w:r>
              <w:rPr>
                <w:b w:val="0"/>
                <w:i w:val="0"/>
                <w:color w:val="1E293B"/>
                <w:sz w:val="20"/>
              </w:rPr>
              <w:t>Introduce FinnUp engineering team for Phase 4 integration (webhook + API deployment). Schedule kickoff by Week 5.</w:t>
            </w:r>
          </w:p>
        </w:tc>
      </w:tr>
    </w:tbl>
    <w:p>
      <w:pPr>
        <w:spacing w:before="0" w:after="80"/>
        <w:jc w:val="left"/>
      </w:pPr>
    </w:p>
    <w:p>
      <w:pPr>
        <w:spacing w:before="40" w:after="40"/>
        <w:pBdr>
          <w:bottom w:val="single" w:sz="6" w:space="1" w:color="0D9488"/>
        </w:pBdr>
      </w:pPr>
    </w:p>
    <w:p>
      <w:r>
        <w:br w:type="page"/>
      </w:r>
    </w:p>
    <w:p>
      <w:pPr>
        <w:spacing w:before="800"/>
        <w:jc w:val="center"/>
      </w:pPr>
      <w:r>
        <w:rPr>
          <w:rFonts w:ascii="Calibri" w:hAnsi="Calibri"/>
          <w:b/>
          <w:color w:val="1B3A6B"/>
          <w:sz w:val="32"/>
        </w:rPr>
        <w:t>FinnUp MSME Lender Matching — Project Summary</w:t>
      </w:r>
    </w:p>
    <w:p>
      <w:pPr>
        <w:spacing w:before="240"/>
        <w:jc w:val="center"/>
      </w:pPr>
    </w:p>
    <w:p>
      <w:pPr>
        <w:spacing w:after="60"/>
        <w:jc w:val="center"/>
      </w:pPr>
      <w:r>
        <w:rPr>
          <w:rFonts w:ascii="Calibri" w:hAnsi="Calibri"/>
          <w:b/>
          <w:color w:val="16A34A"/>
          <w:sz w:val="22"/>
        </w:rPr>
        <w:t xml:space="preserve">✓  DONE  </w:t>
      </w:r>
      <w:r>
        <w:rPr>
          <w:rFonts w:ascii="Calibri" w:hAnsi="Calibri"/>
          <w:color w:val="1E293B"/>
          <w:sz w:val="22"/>
        </w:rPr>
        <w:t>Phases 0–1 complete: 6,483 borrowers, 11 sheets, 30+ ML features, AI Canvas validated</w:t>
      </w:r>
    </w:p>
    <w:p>
      <w:pPr>
        <w:spacing w:after="60"/>
        <w:jc w:val="center"/>
      </w:pPr>
      <w:r>
        <w:rPr>
          <w:rFonts w:ascii="Calibri" w:hAnsi="Calibri"/>
          <w:b/>
          <w:color w:val="16A34A"/>
          <w:sz w:val="22"/>
        </w:rPr>
        <w:t xml:space="preserve">✓  DONE  </w:t>
      </w:r>
      <w:r>
        <w:rPr>
          <w:rFonts w:ascii="Calibri" w:hAnsi="Calibri"/>
          <w:color w:val="1E293B"/>
          <w:sz w:val="22"/>
        </w:rPr>
        <w:t>EDA delivered: missing value map, feature coverage, label landscape, bank risk signals</w:t>
      </w:r>
    </w:p>
    <w:p>
      <w:pPr>
        <w:spacing w:after="60"/>
        <w:jc w:val="center"/>
      </w:pPr>
      <w:r>
        <w:rPr>
          <w:rFonts w:ascii="Calibri" w:hAnsi="Calibri"/>
          <w:b/>
          <w:color w:val="F59E0B"/>
          <w:sz w:val="22"/>
        </w:rPr>
        <w:t xml:space="preserve">⏳  NOW  </w:t>
      </w:r>
      <w:r>
        <w:rPr>
          <w:rFonts w:ascii="Calibri" w:hAnsi="Calibri"/>
          <w:color w:val="1E293B"/>
          <w:sz w:val="22"/>
        </w:rPr>
        <w:t>Week 1: Collect outcome labels from FinnUp — this is the critical dependency</w:t>
      </w:r>
    </w:p>
    <w:p>
      <w:pPr>
        <w:spacing w:after="60"/>
        <w:jc w:val="center"/>
      </w:pPr>
      <w:r>
        <w:rPr>
          <w:rFonts w:ascii="Calibri" w:hAnsi="Calibri"/>
          <w:b/>
          <w:color w:val="7C3AED"/>
          <w:sz w:val="22"/>
        </w:rPr>
        <w:t xml:space="preserve">◌  Apr  </w:t>
      </w:r>
      <w:r>
        <w:rPr>
          <w:rFonts w:ascii="Calibri" w:hAnsi="Calibri"/>
          <w:color w:val="1E293B"/>
          <w:sz w:val="22"/>
        </w:rPr>
        <w:t>Weeks 2–3: Feature engineering, imputation, and training dataset creation</w:t>
      </w:r>
    </w:p>
    <w:p>
      <w:pPr>
        <w:spacing w:after="60"/>
        <w:jc w:val="center"/>
      </w:pPr>
      <w:r>
        <w:rPr>
          <w:rFonts w:ascii="Calibri" w:hAnsi="Calibri"/>
          <w:b/>
          <w:color w:val="0D9488"/>
          <w:sz w:val="22"/>
        </w:rPr>
        <w:t xml:space="preserve">◌  May  </w:t>
      </w:r>
      <w:r>
        <w:rPr>
          <w:rFonts w:ascii="Calibri" w:hAnsi="Calibri"/>
          <w:color w:val="1E293B"/>
          <w:sz w:val="22"/>
        </w:rPr>
        <w:t>Weeks 4–5: XGBoost model training, SHAP explanations, model card</w:t>
      </w:r>
    </w:p>
    <w:p>
      <w:pPr>
        <w:spacing w:after="60"/>
        <w:jc w:val="center"/>
      </w:pPr>
      <w:r>
        <w:rPr>
          <w:rFonts w:ascii="Calibri" w:hAnsi="Calibri"/>
          <w:b/>
          <w:color w:val="1B3A6B"/>
          <w:sz w:val="22"/>
        </w:rPr>
        <w:t xml:space="preserve">◌  May  </w:t>
      </w:r>
      <w:r>
        <w:rPr>
          <w:rFonts w:ascii="Calibri" w:hAnsi="Calibri"/>
          <w:color w:val="1E293B"/>
          <w:sz w:val="22"/>
        </w:rPr>
        <w:t>Weeks 6–7: REST API development, FinnUp integration, UAT</w:t>
      </w:r>
    </w:p>
    <w:p>
      <w:pPr>
        <w:spacing w:after="60"/>
        <w:jc w:val="center"/>
      </w:pPr>
      <w:r>
        <w:rPr>
          <w:rFonts w:ascii="Calibri" w:hAnsi="Calibri"/>
          <w:b/>
          <w:color w:val="16A34A"/>
          <w:sz w:val="22"/>
        </w:rPr>
        <w:t xml:space="preserve">◌  May  </w:t>
      </w:r>
      <w:r>
        <w:rPr>
          <w:rFonts w:ascii="Calibri" w:hAnsi="Calibri"/>
          <w:color w:val="1E293B"/>
          <w:sz w:val="22"/>
        </w:rPr>
        <w:t>Week 8: Final report, IIM Calcutta submission, stakeholder demo — DEADLINE: 31 May 2026</w:t>
      </w:r>
    </w:p>
    <w:p>
      <w:pPr>
        <w:spacing w:before="0" w:after="80"/>
        <w:jc w:val="left"/>
      </w:pPr>
    </w:p>
    <w:p>
      <w:pPr>
        <w:jc w:val="center"/>
      </w:pPr>
      <w:r>
        <w:rPr>
          <w:rFonts w:ascii="Calibri" w:hAnsi="Calibri"/>
          <w:color w:val="64748B"/>
          <w:sz w:val="18"/>
        </w:rPr>
        <w:t>APAL Programme  |  IIM Calcutta  |  Cohort 2  |  Group 1  |  April 2026  |  Confidential</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