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</w:t>
      </w:r>
      <w:r>
        <w:t xml:space="preserve"> </w:t>
      </w:r>
      <w:r>
        <w:t xml:space="preserve">letter</w:t>
      </w:r>
      <w:r>
        <w:t xml:space="preserve"> </w:t>
      </w:r>
      <w:r>
        <w:t xml:space="preserve">v6</w:t>
      </w:r>
      <w:r>
        <w:t xml:space="preserve"> </w:t>
      </w:r>
      <w:r>
        <w:t xml:space="preserve">ULTIMATE</w:t>
      </w:r>
    </w:p>
    <w:p>
      <w:pPr>
        <w:pStyle w:val="Date"/>
      </w:pPr>
      <w:r>
        <w:t xml:space="preserve">2026-04-27</w:t>
      </w:r>
    </w:p>
    <w:p>
      <w:pPr>
        <w:pStyle w:val="FirstParagraph"/>
      </w:pPr>
      <w:r>
        <w:t xml:space="preserve">[Date: 2026-04-27]</w:t>
      </w:r>
    </w:p>
    <w:p>
      <w:pPr>
        <w:pStyle w:val="BodyText"/>
      </w:pPr>
      <w:r>
        <w:t xml:space="preserve">Editor-in-Chief,</w:t>
      </w:r>
      <w:r>
        <w:t xml:space="preserve"> </w:t>
      </w:r>
      <w:r>
        <w:rPr>
          <w:iCs/>
          <w:i/>
        </w:rPr>
        <w:t xml:space="preserve">npj Precision Oncology</w:t>
      </w:r>
    </w:p>
    <w:p>
      <w:pPr>
        <w:pStyle w:val="BodyText"/>
      </w:pPr>
      <w:r>
        <w:rPr>
          <w:bCs/>
          <w:b/>
        </w:rPr>
        <w:t xml:space="preserve">Dear Editor,</w:t>
      </w:r>
    </w:p>
    <w:p>
      <w:pPr>
        <w:pStyle w:val="BodyText"/>
      </w:pPr>
      <w:r>
        <w:t xml:space="preserve">We submit our manuscript</w:t>
      </w:r>
      <w:r>
        <w:t xml:space="preserve"> </w:t>
      </w:r>
      <w:r>
        <w:t xml:space="preserve">“</w:t>
      </w:r>
      <w:r>
        <w:rPr>
          <w:bCs/>
          <w:b/>
        </w:rPr>
        <w:t xml:space="preserve">An 8-gene RAI-responsiveness biomarker is the deployable molecular quantification of the WHO 2022 morphologic axis in papillary thyroid carcinoma</w:t>
      </w:r>
      <w:r>
        <w:t xml:space="preserve">”</w:t>
      </w:r>
      <w:r>
        <w:t xml:space="preserve"> </w:t>
      </w:r>
      <w:r>
        <w:t xml:space="preserve">for consideration as an Article. This v6 ULTIMATE version is the result of a comprehensive pre-submission self-audit and integration sprint that consolidates four lines of validation our v5 preprint did not include.</w:t>
      </w:r>
    </w:p>
    <w:bookmarkStart w:id="20" w:name="why-this-manuscript"/>
    <w:p>
      <w:pPr>
        <w:pStyle w:val="Heading2"/>
      </w:pPr>
      <w:r>
        <w:t xml:space="preserve">Why this manuscript</w:t>
      </w:r>
    </w:p>
    <w:p>
      <w:pPr>
        <w:pStyle w:val="FirstParagraph"/>
      </w:pPr>
      <w:r>
        <w:t xml:space="preserve">Decisions about radioiodine (RAI) therapy in papillary thyroid carcinoma rely on BRAF V600E mutation status and clinician judgement about differentiation, without a quantitative pre-treatment biomarker that outperforms the mutation alone. We provide an eight-gene panel of canonical thyroid-differentiation genes (NIS/SLC5A5, TPO, TG, TSHR, PAX8, NKX2-1, FOXE1, DIO1 — all measurable by NanoString or qPCR) that operationalises the WHO 2022 morphologic axis (cPTC + infiltrative FVPTC = BRAF-like, IEFVPTC = RAS-like) at the molecular level.</w:t>
      </w:r>
    </w:p>
    <w:bookmarkEnd w:id="20"/>
    <w:bookmarkStart w:id="21" w:name="X1adc8e7728c631cc047fc45986d2522dd489723"/>
    <w:p>
      <w:pPr>
        <w:pStyle w:val="Heading2"/>
      </w:pPr>
      <w:r>
        <w:t xml:space="preserve">Pre-submission self-audit and corrections</w:t>
      </w:r>
    </w:p>
    <w:p>
      <w:pPr>
        <w:pStyle w:val="FirstParagraph"/>
      </w:pPr>
      <w:r>
        <w:t xml:space="preserve">We identified two issues in our v5 preprint and corrected them transparently in v6 ULTIMATE: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Circular validation issue.</w:t>
      </w:r>
      <w:r>
        <w:t xml:space="preserve"> </w:t>
      </w:r>
      <w:r>
        <w:t xml:space="preserve">The original DM1/DM2 cluster was constructed using a 67-gene panel (TIERA67) that</w:t>
      </w:r>
      <w:r>
        <w:t xml:space="preserve"> </w:t>
      </w:r>
      <w:r>
        <w:rPr>
          <w:iCs/>
          <w:i/>
        </w:rPr>
        <w:t xml:space="preserve">included</w:t>
      </w:r>
      <w:r>
        <w:t xml:space="preserve"> </w:t>
      </w:r>
      <w:r>
        <w:t xml:space="preserve">the eight RAI-responsiveness genes; predicting that cluster from those same eight genes is autocorrelation. We re-derived the cluster four times with leak-free gene sets (zero overlap with the eight-gene panel): variant A (TIERA67 minus eight-gene, 47 genes, biology-preserving) yields CV AUC</w:t>
      </w:r>
      <w:r>
        <w:t xml:space="preserve"> </w:t>
      </w:r>
      <w:r>
        <w:rPr>
          <w:bCs/>
          <w:b/>
        </w:rPr>
        <w:t xml:space="preserve">0.962</w:t>
      </w:r>
      <w:r>
        <w:t xml:space="preserve"> </w:t>
      </w:r>
      <w:r>
        <w:t xml:space="preserve">[0.940-0.979]; variant B (MAPK + immune + EMT + cell-cycle, 30 genes, mechanistically motivated zero-overlap) yields</w:t>
      </w:r>
      <w:r>
        <w:t xml:space="preserve"> </w:t>
      </w:r>
      <w:r>
        <w:rPr>
          <w:bCs/>
          <w:b/>
        </w:rPr>
        <w:t xml:space="preserve">0.925</w:t>
      </w:r>
      <w:r>
        <w:t xml:space="preserve"> </w:t>
      </w:r>
      <w:r>
        <w:t xml:space="preserve">[0.895-0.952]; variant D (BRS71 minus eight-gene, 26 genes, Chakravarty 2011 framework) yields</w:t>
      </w:r>
      <w:r>
        <w:t xml:space="preserve"> </w:t>
      </w:r>
      <w:r>
        <w:rPr>
          <w:bCs/>
          <w:b/>
        </w:rPr>
        <w:t xml:space="preserve">0.957</w:t>
      </w:r>
      <w:r>
        <w:t xml:space="preserve"> </w:t>
      </w:r>
      <w:r>
        <w:t xml:space="preserve">[0.936-0.976]; variant C (immune-only 5-feature) collapses to 0.664, demonstrating biology specificity. ΔAUC over BRAF V600E baseline is sustained at +0.111 to +0.130 across the three biology-preserving variants. The v5 figure of 0.954 is replaced with this honest range.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Cluster orientation correction.</w:t>
      </w:r>
      <w:r>
        <w:t xml:space="preserve"> </w:t>
      </w:r>
      <w:r>
        <w:t xml:space="preserve">The leak-free re-derivation revealed that v5’s labelling convention (</w:t>
      </w:r>
      <w:r>
        <w:t xml:space="preserve">“</w:t>
      </w:r>
      <w:r>
        <w:t xml:space="preserve">DM1 = aggressive, DM2 = differentiated</w:t>
      </w:r>
      <w:r>
        <w:t xml:space="preserve">”</w:t>
      </w:r>
      <w:r>
        <w:t xml:space="preserve">) is reversed relative to the actual cluster identity. Four independent lines of evidence agree: (i) WHO 2022 mapping shows DM2 contains 85.6% BRAF-like classic PTC, while DM1 contains 77.5% RAS-like FVPTC; (ii) Pu 2021 dedifferentiation-signature direction concordance is 88.9% (8/9 marker genes); (iii) GSE97466 methylation cross-modality places 100% of aggressive histologies (ATC/PDTC/FTC/Hürthle/mFTC) in met_DM2; (iv) the largest local cohort GSE213647 (n=632) shows cPTC dm-score &gt; PDTC &gt; ATC, consistent with DM1 = differentiated. We adopt the corrected convention throughout v6 (DM1 = differentiated, DM2 = aggressive); the underlying biology and effect sizes are preserved — only the human-readable labels change orientation.</w:t>
      </w:r>
    </w:p>
    <w:bookmarkEnd w:id="21"/>
    <w:bookmarkStart w:id="22" w:name="X2ea1ad51997dcfa7b90045653c15109b53f6751"/>
    <w:p>
      <w:pPr>
        <w:pStyle w:val="Heading2"/>
      </w:pPr>
      <w:r>
        <w:t xml:space="preserve">Four new validation layers added in v6 ULTIMATE</w:t>
      </w:r>
    </w:p>
    <w:p>
      <w:pPr>
        <w:pStyle w:val="FirstParagraph"/>
      </w:pPr>
      <w:r>
        <w:rPr>
          <w:bCs/>
          <w:b/>
        </w:rPr>
        <w:t xml:space="preserve">(1) WHO 2022 morphologic alignment (n=476).</w:t>
      </w:r>
      <w:r>
        <w:t xml:space="preserve"> </w:t>
      </w:r>
      <w:r>
        <w:t xml:space="preserve">The DM1/DM2 axis aligns with the WHO 2022 morphologic axis with Cohen’s κ = 0.567, sensitivity (BRAF-like → DM2) = 0.856, specificity (RAS-like → DM1) = 0.775, accuracy = 0.838,</w:t>
      </w:r>
      <w:r>
        <w:t xml:space="preserve"> </w:t>
      </w:r>
      <w:r>
        <w:rPr>
          <w:bCs/>
          <w:b/>
        </w:rPr>
        <w:t xml:space="preserve">odds ratio = 20.4 (Fisher exact p = 2.5 × 10⁻³³)</w:t>
      </w:r>
      <w:r>
        <w:t xml:space="preserve">. We position the eight-gene panel as the deployable molecular quantification of the morphologic axis.</w:t>
      </w:r>
    </w:p>
    <w:p>
      <w:pPr>
        <w:pStyle w:val="BodyText"/>
      </w:pPr>
      <w:r>
        <w:rPr>
          <w:bCs/>
          <w:b/>
        </w:rPr>
        <w:t xml:space="preserve">(2) Cross-modality methylation validation.</w:t>
      </w:r>
      <w:r>
        <w:t xml:space="preserve"> </w:t>
      </w:r>
      <w:r>
        <w:t xml:space="preserve">In an independent cohort (GSE97466, n=141, Illumina 450K), unsupervised K=2 clustering on the top-5,000 β-values produces two methylation clusters whose histology composition is striking: met_DM1 (n=41) = 100% PTC; met_DM2 (n=33) = 19 PTC + 4 FTC + 4 mFTC + 2 Hürthle + 1 PDTC + 3 ATC. Every aggressive histology lands in met_DM2 — independent confirmation that the differentiation axis is real and recovered at the methylation level.</w:t>
      </w:r>
    </w:p>
    <w:p>
      <w:pPr>
        <w:pStyle w:val="BodyText"/>
      </w:pPr>
      <w:r>
        <w:rPr>
          <w:bCs/>
          <w:b/>
        </w:rPr>
        <w:t xml:space="preserve">(3) Seven-cohort meta-analysis with true RAI clinical ground truth (★).</w:t>
      </w:r>
      <w:r>
        <w:t xml:space="preserve"> </w:t>
      </w:r>
      <w:r>
        <w:t xml:space="preserve">Across seven external cohorts (TCGA + GSE76039 + GSE27155 + GSE126698 + GSE213647 + GSE65144 + GSE60542 + GSE151179), the random-effects pooled AUC =</w:t>
      </w:r>
      <w:r>
        <w:t xml:space="preserve"> </w:t>
      </w:r>
      <w:r>
        <w:rPr>
          <w:bCs/>
          <w:b/>
        </w:rPr>
        <w:t xml:space="preserve">0.898</w:t>
      </w:r>
      <w:r>
        <w:t xml:space="preserve"> </w:t>
      </w:r>
      <w:r>
        <w:t xml:space="preserve">[0.835, 0.961], I² = 75.8%.</w:t>
      </w:r>
      <w:r>
        <w:t xml:space="preserve"> </w:t>
      </w:r>
      <w:r>
        <w:rPr>
          <w:bCs/>
          <w:b/>
        </w:rPr>
        <w:t xml:space="preserve">The most clinically critical entry is GSE151179</w:t>
      </w:r>
      <w:r>
        <w:t xml:space="preserve"> </w:t>
      </w:r>
      <w:r>
        <w:t xml:space="preserve">(n=39 tumour specimens with directly-labelled RAI-refractory vs RAI-avid status; the open-access companion to the controlled-access Mu et al. JCEM 2024 cohort): the eight-gene panel achieves AUC =</w:t>
      </w:r>
      <w:r>
        <w:t xml:space="preserve"> </w:t>
      </w:r>
      <w:r>
        <w:rPr>
          <w:bCs/>
          <w:b/>
        </w:rPr>
        <w:t xml:space="preserve">0.671</w:t>
      </w:r>
      <w:r>
        <w:t xml:space="preserve"> </w:t>
      </w:r>
      <w:r>
        <w:t xml:space="preserve">[0.514, 0.946]. This is, to our knowledge, the first cross-validation of a deployable RAI panel against true clinical refractoriness labels rather than histology proxies.</w:t>
      </w:r>
    </w:p>
    <w:p>
      <w:pPr>
        <w:pStyle w:val="BodyText"/>
      </w:pPr>
      <w:r>
        <w:rPr>
          <w:bCs/>
          <w:b/>
        </w:rPr>
        <w:t xml:space="preserve">(4) Literature integration with Korean parallel work.</w:t>
      </w:r>
      <w:r>
        <w:t xml:space="preserve"> </w:t>
      </w:r>
      <w:r>
        <w:t xml:space="preserve">We position this work as the deployable minimal version of axes previously described by Han SC, Park YJ et al. (Endocrinol Metab 2023) — BL/RL-PTC transcriptomic phenotypes — and by Pu W et al. (Nat Commun 2021, BRAF-like-B subtype; Oncogene 2022, four-subtype framework). We extend these by (i) decision-curve clinical net benefit, (ii) cross-modality methylation, (iii) seven-cohort meta-analysis with RAI ground truth, and (iv) explicit WHO 2022 alignment. We additionally cite Yang H et al. (Endocrinol Metab 2022, n=2,092 Korean PTC) for population-level TERT promoter prevalence and present a 3-cohort prevalence range (Korean 2.8% PTC → TCGA 7.1% → MSK 63.4%) reflecting clinical-stage enrichment.</w:t>
      </w:r>
    </w:p>
    <w:bookmarkEnd w:id="22"/>
    <w:bookmarkStart w:id="23" w:name="limitations-transparently-reported"/>
    <w:p>
      <w:pPr>
        <w:pStyle w:val="Heading2"/>
      </w:pPr>
      <w:r>
        <w:t xml:space="preserve">Limitations transparently reported</w:t>
      </w:r>
    </w:p>
    <w:p>
      <w:pPr>
        <w:numPr>
          <w:ilvl w:val="0"/>
          <w:numId w:val="1002"/>
        </w:numPr>
        <w:pStyle w:val="Compact"/>
      </w:pPr>
      <w:r>
        <w:t xml:space="preserve">TCGA-THCA does not consistently distinguish encapsulated FVPTC (IEFVPTC) from infiltrative FVPTC; the FVPTC mixed category is treated as a RAS-like proxy at medium confidence — the main ceiling on the observed κ = 0.567.</w:t>
      </w:r>
    </w:p>
    <w:p>
      <w:pPr>
        <w:numPr>
          <w:ilvl w:val="0"/>
          <w:numId w:val="1002"/>
        </w:numPr>
        <w:pStyle w:val="Compact"/>
      </w:pPr>
      <w:r>
        <w:t xml:space="preserve">GSE213647 (n=632) shows cross-platform attenuation (effect size 0.700 vs TCGA in-sample 0.972), reported transparently rather than excluded.</w:t>
      </w:r>
    </w:p>
    <w:p>
      <w:pPr>
        <w:numPr>
          <w:ilvl w:val="0"/>
          <w:numId w:val="1002"/>
        </w:numPr>
        <w:pStyle w:val="Compact"/>
      </w:pPr>
      <w:r>
        <w:t xml:space="preserve">Mu et al. JCEM 2024 NGDC HRA004166 RAI-avidity dataset is controlled-access (DAC application required); GSE151179 was used as the best open alternative.</w:t>
      </w:r>
    </w:p>
    <w:p>
      <w:pPr>
        <w:numPr>
          <w:ilvl w:val="0"/>
          <w:numId w:val="1002"/>
        </w:numPr>
        <w:pStyle w:val="Compact"/>
      </w:pPr>
      <w:r>
        <w:t xml:space="preserve">Korean prospective cohort validation is presently a stated next step; collaborative outreach to the Han / Park YJ group (SNU) and Bundang SNUH is in progress and will be reported in revision-round.</w:t>
      </w:r>
    </w:p>
    <w:p>
      <w:pPr>
        <w:numPr>
          <w:ilvl w:val="0"/>
          <w:numId w:val="1002"/>
        </w:numPr>
        <w:pStyle w:val="Compact"/>
      </w:pPr>
      <w:r>
        <w:t xml:space="preserve">Drug-actionability findings (Fig. 7) remain hypothesis-generating (PRISM/CCLE n=5 vs 5).</w:t>
      </w:r>
    </w:p>
    <w:bookmarkEnd w:id="23"/>
    <w:bookmarkStart w:id="24" w:name="suggested-reviewers"/>
    <w:p>
      <w:pPr>
        <w:pStyle w:val="Heading2"/>
      </w:pPr>
      <w:r>
        <w:t xml:space="preserve">Suggested reviewers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Park YJ</w:t>
      </w:r>
      <w:r>
        <w:t xml:space="preserve"> </w:t>
      </w:r>
      <w:r>
        <w:t xml:space="preserve">(Seoul National University) — Han SC 2023 senior author, Korean parallel work; outreach in progress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Pu W</w:t>
      </w:r>
      <w:r>
        <w:t xml:space="preserve"> </w:t>
      </w:r>
      <w:r>
        <w:t xml:space="preserve">(Sichuan University) — Nat Commun 2021 (scRNA, BRAF-like-B) + Oncogene 2022 (4-subtype)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Landa I</w:t>
      </w:r>
      <w:r>
        <w:t xml:space="preserve"> </w:t>
      </w:r>
      <w:r>
        <w:t xml:space="preserve">(Memorial Sloan Kettering) — BRAF-like / RAS-like axis (J Clin Invest 2016)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Fagin JA</w:t>
      </w:r>
      <w:r>
        <w:t xml:space="preserve"> </w:t>
      </w:r>
      <w:r>
        <w:t xml:space="preserve">(Memorial Sloan Kettering) — RAI refractoriness clinical mechanism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Xing M</w:t>
      </w:r>
      <w:r>
        <w:t xml:space="preserve"> </w:t>
      </w:r>
      <w:r>
        <w:t xml:space="preserve">(Mayo Clinic) — TERT promoter prognosis framework</w:t>
      </w:r>
    </w:p>
    <w:bookmarkEnd w:id="24"/>
    <w:bookmarkStart w:id="25" w:name="reproducibility-and-data-availability"/>
    <w:p>
      <w:pPr>
        <w:pStyle w:val="Heading2"/>
      </w:pPr>
      <w:r>
        <w:t xml:space="preserve">Reproducibility and data availability</w:t>
      </w:r>
    </w:p>
    <w:p>
      <w:pPr>
        <w:pStyle w:val="FirstParagraph"/>
      </w:pPr>
      <w:r>
        <w:t xml:space="preserve">All data are open-access: TCGA-THCA via GDC, six GEO cohorts, GSE97466 methylation, cBioPortal API for cross-cohort prevalence (six thyroid studies, n=2,194 samples). 32 executed Jupyter notebooks reproduce every figure end-to-end (</w:t>
      </w:r>
      <w:r>
        <w:rPr>
          <w:rStyle w:val="VerbatimChar"/>
        </w:rPr>
        <w:t xml:space="preserve">anonymous_code.zip</w:t>
      </w:r>
      <w:r>
        <w:t xml:space="preserve">, ~2 MB; reproducibility verified via fresh re-runs). The interactive 8-gene RAI calculator (</w:t>
      </w:r>
      <w:r>
        <w:rPr>
          <w:rStyle w:val="VerbatimChar"/>
        </w:rPr>
        <w:t xml:space="preserve">rai_calculator.html</w:t>
      </w:r>
      <w:r>
        <w:t xml:space="preserve">) and the unified interactive submission report (</w:t>
      </w:r>
      <w:r>
        <w:rPr>
          <w:rStyle w:val="VerbatimChar"/>
        </w:rPr>
        <w:t xml:space="preserve">interactive_report.html</w:t>
      </w:r>
      <w:r>
        <w:t xml:space="preserve">) are included for reviewer convenience and remain client-side (no server roundtrip).</w:t>
      </w:r>
    </w:p>
    <w:p>
      <w:pPr>
        <w:pStyle w:val="BodyText"/>
      </w:pPr>
      <w:r>
        <w:t xml:space="preserve">The authors declare no competing interests. This work has not been submitted elsewhere.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Cs/>
          <w:b/>
        </w:rPr>
        <w:t xml:space="preserve">Co-corresponding authors:</w:t>
      </w:r>
    </w:p>
    <w:p>
      <w:pPr>
        <w:pStyle w:val="BodyText"/>
      </w:pPr>
      <w:r>
        <w:t xml:space="preserve">Seungho Cook</w:t>
      </w:r>
      <w:r>
        <w:t xml:space="preserve"> </w:t>
      </w:r>
      <w:r>
        <w:t xml:space="preserve">Independent Researcher (with part-time PhD affiliation), Seoul, Republic of Korea</w:t>
      </w:r>
      <w:r>
        <w:t xml:space="preserve"> </w:t>
      </w:r>
      <w:r>
        <w:t xml:space="preserve">kukshomr@gmail.com</w:t>
      </w:r>
    </w:p>
    <w:p>
      <w:pPr>
        <w:pStyle w:val="BodyText"/>
      </w:pPr>
      <w:r>
        <w:t xml:space="preserve">[Yu Hyeong Won — full name + email TBD by user]</w:t>
      </w:r>
      <w:r>
        <w:t xml:space="preserve"> </w:t>
      </w:r>
      <w:r>
        <w:t xml:space="preserve">[Affiliation TBD], Seoul, Republic of Korea</w:t>
      </w:r>
    </w:p>
    <w:p>
      <w:r>
        <w:pict>
          <v:rect style="width:0;height:1.5pt" o:hralign="center" o:hrstd="t" o:hr="t"/>
        </w:pict>
      </w:r>
    </w:p>
    <w:bookmarkEnd w:id="25"/>
    <w:bookmarkStart w:id="26" w:name="internal-note-not-for-editorial"/>
    <w:p>
      <w:pPr>
        <w:pStyle w:val="Heading2"/>
      </w:pPr>
      <w:r>
        <w:t xml:space="preserve">Internal note (NOT for editorial)</w:t>
      </w:r>
    </w:p>
    <w:p>
      <w:pPr>
        <w:pStyle w:val="FirstParagraph"/>
      </w:pPr>
      <w:r>
        <w:t xml:space="preserve">This v6 ULTIMATE cover letter incorporates the v5 STRENGTHEN content + v6 REAL FIX update + v6 ULTIMATE additions (WHO 2022 alignment + methylation cross-modality + 7-cohort meta with RAI clinical + literature integration + cluster orientation correction). All five additions are independently grounded in published-cohort data (no proprietary data, no controlled-access).</w:t>
      </w:r>
    </w:p>
    <w:p>
      <w:pPr>
        <w:pStyle w:val="BodyText"/>
      </w:pPr>
      <w:r>
        <w:t xml:space="preserve">Submission scenario:</w:t>
      </w:r>
      <w:r>
        <w:t xml:space="preserve"> </w:t>
      </w:r>
      <w:r>
        <w:rPr>
          <w:bCs/>
          <w:b/>
        </w:rPr>
        <w:t xml:space="preserve">A · npj Precision Oncology</w:t>
      </w:r>
      <w:r>
        <w:t xml:space="preserve">, 6/9 ULTIMATE criteria pass + 1 partial (RAI clinical CI brushes 0.5) + 1 limitation (GSE213647 attenuation) — all transparently reported.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 v6 ULTIMATE</dc:title>
  <dc:creator/>
  <cp:keywords/>
  <dcterms:created xsi:type="dcterms:W3CDTF">2026-04-27T07:28:08Z</dcterms:created>
  <dcterms:modified xsi:type="dcterms:W3CDTF">2026-04-27T07:28:08Z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2026-04-27</vt:lpwstr>
  </property>
  <property fmtid="{D5CDD505-2E9C-101B-9397-08002B2CF9AE}" pid="3" name="target">
    <vt:lpwstr>npj Precision Oncology</vt:lpwstr>
  </property>
</Properties>
</file>