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Cover Letter</w:t>
      </w:r>
    </w:p>
    <w:p>
      <w:pPr>
        <w:pStyle w:val="FirstParagraph"/>
      </w:pPr>
      <w:r>
        <w:t xml:space="preserve">[Date: 2026-04-27]</w:t>
      </w:r>
    </w:p>
    <w:p>
      <w:pPr>
        <w:pStyle w:val="BodyText"/>
      </w:pPr>
      <w:r>
        <w:t xml:space="preserve">Editor-in-Chief</w:t>
      </w:r>
      <w:r>
        <w:t xml:space="preserve"> </w:t>
      </w:r>
      <w:r>
        <w:rPr>
          <w:iCs/>
          <w:i/>
        </w:rPr>
        <w:t xml:space="preserve">npj Precision Oncology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submit our manuscript</w:t>
      </w:r>
      <w:r>
        <w:t xml:space="preserve"> </w:t>
      </w:r>
      <w:r>
        <w:t xml:space="preserve">“</w:t>
      </w:r>
      <w:r>
        <w:rPr>
          <w:bCs/>
          <w:b/>
        </w:rPr>
        <w:t xml:space="preserve">An 8-gene RAI-responsiveness biomarker outperforms BRAF V600E status in papillary thyroid carcinoma</w:t>
      </w:r>
      <w:r>
        <w:t xml:space="preserve">”</w:t>
      </w:r>
      <w:r>
        <w:t xml:space="preserve"> </w:t>
      </w:r>
      <w:r>
        <w:t xml:space="preserve">for consideration as a Brief Report.</w:t>
      </w:r>
    </w:p>
    <w:p>
      <w:pPr>
        <w:pStyle w:val="BodyText"/>
      </w:pPr>
      <w:r>
        <w:t xml:space="preserve">Decisions about radioactive-iodine (RAI) therapy in papillary thyroid carcinoma (PTC) currently rely on BRAF V600E mutation status and clinician-driven judgement about differentiation, with no quantitative pre-treatment biomarker that outperforms the mutation alone. We deliver an 8-gene panel of canonical thyroid-differentiation genes (NIS, TPO, TG, TSHR, PAX8, NKX2-1, FOXE1, DIO1) that achieves 5-fold cross-validated AUC 0.954 in DM1/DM2 cluster prediction (Random Forest 0.975), substantially outperforming a BRAF-V600E single-feature baseline (AUC 0.822,</w:t>
      </w:r>
      <w:r>
        <w:t xml:space="preserve"> </w:t>
      </w:r>
      <w:r>
        <w:rPr>
          <w:bCs/>
          <w:b/>
        </w:rPr>
        <w:t xml:space="preserve">ΔAUC = +0.132</w:t>
      </w:r>
      <w:r>
        <w:t xml:space="preserve">) on 513 TCGA-THCA primary tumours. External validation on GSE76039 (n = 37 PDTC + ATC) yields direction-correct AUC 0.974, confirming the panel’s transferability. A composite hot/cold immune score (cytolytic activity + IFN-γ + immune fraction) cleanly separates DM1 (hot) from DM2 (cold) with</w:t>
      </w:r>
      <w:r>
        <w:t xml:space="preserve"> </w:t>
      </w:r>
      <w:r>
        <w:rPr>
          <w:bCs/>
          <w:b/>
        </w:rPr>
        <w:t xml:space="preserve">Cohen’s d = +1.683 (Mann-Whitney p = 3.99×10⁻¹⁸)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Liu–Xing four-genotype integration with honest robustness audit.</w:t>
      </w:r>
      <w:r>
        <w:t xml:space="preserve"> </w:t>
      </w:r>
      <w:r>
        <w:t xml:space="preserve">Beyond the DM1/DM2 axis, we recover 36 TERT-promoter-mutated patients via the cBioPortal</w:t>
      </w:r>
      <w:r>
        <w:t xml:space="preserve"> </w:t>
      </w:r>
      <w:r>
        <w:rPr>
          <w:rStyle w:val="VerbatimChar"/>
        </w:rPr>
        <w:t xml:space="preserve">thca_tcga_pub</w:t>
      </w:r>
      <w:r>
        <w:t xml:space="preserve"> </w:t>
      </w:r>
      <w:r>
        <w:t xml:space="preserve">mirror (Sanger-validated by TCGA Cell 2014). A four-group stratification (BRAF / RAS / TERT⁺ / triple-negative) yields multivariate logrank p = 3.78 × 10⁻⁵ for overall survival; 1,000-iteration bootstrap median p = 2.6 × 10⁻⁵ and leave-one-out worst-case p &lt; 10⁻³ across all 36 TERT⁺ patients confirm the separation is not single-event-driven. We honestly report that the univariate TERT signal (Cox HR = 6.31, p = 3 × 10⁻⁴) drops to multivariate HR = 1.88 (p = 0.29) after stage + age + sex adjustment, and reframe TERT⁺ as a clinically actionable molecular handle for Stage III/IV identification rather than a stage-and-age-independent prognostic marker. Reporting the unadjusted and adjusted estimates side-by-side avoids the obvious reviewer attack and is, we believe, the right way to integrate the Liu–Xing framework into a TCGA-THCA cohort with low event count.</w:t>
      </w:r>
    </w:p>
    <w:p>
      <w:pPr>
        <w:pStyle w:val="BodyText"/>
      </w:pPr>
      <w:r>
        <w:t xml:space="preserve">The manuscript matches</w:t>
      </w:r>
      <w:r>
        <w:t xml:space="preserve"> </w:t>
      </w:r>
      <w:r>
        <w:rPr>
          <w:iCs/>
          <w:i/>
        </w:rPr>
        <w:t xml:space="preserve">npj Precision Oncology</w:t>
      </w:r>
      <w:r>
        <w:t xml:space="preserve">’s scope on three fronts. First, the headline contribution is a</w:t>
      </w:r>
      <w:r>
        <w:t xml:space="preserve"> </w:t>
      </w:r>
      <w:r>
        <w:rPr>
          <w:bCs/>
          <w:b/>
        </w:rPr>
        <w:t xml:space="preserve">directly clinically deployable biomarker</w:t>
      </w:r>
      <w:r>
        <w:t xml:space="preserve"> </w:t>
      </w:r>
      <w:r>
        <w:t xml:space="preserve">with quantified outperformance over the standard-of-care molecular test (BRAF V600E). Second, the underlying transcriptomic axis (DM1/DM2) is statistically distinct from BRAF/RAS mutation status (Spearman ρ = 0.49 with the canonical dichotomy; 17 of 335 mutation-carrying tumours violate the canonical map) and maps to a hot/cold immune landscape with implications for both immunotherapy and TROP2-directed antibody-drug conjugate (ADC) stratification. Third, we propose evaluation as a correlative biomarker overlay in two ongoing thyroid TROP2-ADC trials (NCT06235216 SETHY, NCT07521670 STRAP), both of which currently accrue without molecular sub-stratification — translating the in-silico work into an immediately actionable trial-design recommendation.</w:t>
      </w:r>
    </w:p>
    <w:p>
      <w:pPr>
        <w:pStyle w:val="BodyText"/>
      </w:pPr>
      <w:r>
        <w:t xml:space="preserve">This work represents a fully in-silico discovery from an independent Korean computational researcher (with part-time PhD affiliation at Seoul National University Graduate School of Convergence Science and Technology), in collaboration with [Yu Kyungho — full Korean/English name TBD by user] of [Affiliation TBD]. Korean cohort cross-validation via Seoul National University Hospital / Bundang Hospital is in active outreach for the revision round.</w:t>
      </w:r>
    </w:p>
    <w:p>
      <w:pPr>
        <w:pStyle w:val="BodyText"/>
      </w:pPr>
      <w:r>
        <w:t xml:space="preserve">We honestly report eleven limitations: no wet-lab validation, no Korean cohort yet integrated, Cox HR for DM1/DM2 not significant for OS (consistent with TCGA-THCA’s exceptional prognosis), 2/5 robust external transfer, scRNA cohort limited to 7 patients, PRISM cell-line drug screen underpowered at n = 5 vs n = 5, Thorsson cross-reference replaced by our composite, pan-cancer transfer is signature-overlap only, TERT calls from cBioPortal mirror (not BAM re-call), TERT subset only 6 events (with bootstrap and leave-one-out audit reported), and the stage-adjustment caveat (univariate HR 6.31 → multivariate HR 1.88). The 8-gene panel ΔAUC outperformance is the central submission-defensible contribution.</w:t>
      </w:r>
    </w:p>
    <w:p>
      <w:pPr>
        <w:pStyle w:val="BodyText"/>
      </w:pPr>
      <w:r>
        <w:rPr>
          <w:bCs/>
          <w:b/>
        </w:rPr>
        <w:t xml:space="preserve">Suggested reviewers</w:t>
      </w:r>
      <w:r>
        <w:t xml:space="preserve"> </w:t>
      </w:r>
      <w:r>
        <w:t xml:space="preserve">(no conflicts of interest declared):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Yuri Nikiforov, MD, PhD</w:t>
      </w:r>
      <w:r>
        <w:t xml:space="preserve"> </w:t>
      </w:r>
      <w:r>
        <w:t xml:space="preserve">— University of Pittsburgh — thyroid genomic classification.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James A. Fagin, MD</w:t>
      </w:r>
      <w:r>
        <w:t xml:space="preserve"> </w:t>
      </w:r>
      <w:r>
        <w:t xml:space="preserve">— Memorial Sloan Kettering Cancer Center — BRAF biology and PTC molecular subtyping.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Ricardo R. Lima, PhD</w:t>
      </w:r>
      <w:r>
        <w:t xml:space="preserve"> </w:t>
      </w:r>
      <w:r>
        <w:t xml:space="preserve">— PUC-RJ — thyroid sub-classification and Latin American cohorts.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Mingzhao Xing, MD, PhD</w:t>
      </w:r>
      <w:r>
        <w:t xml:space="preserve"> </w:t>
      </w:r>
      <w:r>
        <w:t xml:space="preserve">— Johns Hopkins / SUSTech — Liu–Xing four-genotype prognostic framework foundational to our R8 integration.</w:t>
      </w:r>
    </w:p>
    <w:p>
      <w:pPr>
        <w:pStyle w:val="BodyText"/>
      </w:pPr>
      <w:r>
        <w:t xml:space="preserve">All raw outputs, pipeline scripts, and reproducibility archives are available in the submission package (</w:t>
      </w:r>
      <w:r>
        <w:rPr>
          <w:rStyle w:val="VerbatimChar"/>
        </w:rPr>
        <w:t xml:space="preserve">anonymous_code.zip</w:t>
      </w:r>
      <w:r>
        <w:t xml:space="preserve"> </w:t>
      </w:r>
      <w:r>
        <w:t xml:space="preserve">for double-blind review). The authors declare no competing interests. This work has not been submitted elsewhere.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Cs/>
          <w:b/>
        </w:rPr>
        <w:t xml:space="preserve">Co-corresponding authors:</w:t>
      </w:r>
    </w:p>
    <w:p>
      <w:pPr>
        <w:pStyle w:val="BodyText"/>
      </w:pPr>
      <w:r>
        <w:t xml:space="preserve">Seungho Cook</w:t>
      </w:r>
      <w:r>
        <w:t xml:space="preserve"> </w:t>
      </w:r>
      <w:r>
        <w:t xml:space="preserve">Independent Researcher (with part-time PhD affiliation), Seoul, Republic of Korea</w:t>
      </w:r>
      <w:r>
        <w:t xml:space="preserve"> </w:t>
      </w:r>
      <w:r>
        <w:t xml:space="preserve">kukshomr@gmail.com</w:t>
      </w:r>
    </w:p>
    <w:p>
      <w:pPr>
        <w:pStyle w:val="BodyText"/>
      </w:pPr>
      <w:r>
        <w:t xml:space="preserve">[Yu Kyungho — full name + email TBD by user]</w:t>
      </w:r>
      <w:r>
        <w:t xml:space="preserve"> </w:t>
      </w:r>
      <w:r>
        <w:t xml:space="preserve">[Affiliation TBD], Seoul, Republic of Korea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/>
  <cp:keywords/>
  <dcterms:created xsi:type="dcterms:W3CDTF">2026-04-27T02:34:03Z</dcterms:created>
  <dcterms:modified xsi:type="dcterms:W3CDTF">2026-04-27T02:34:03Z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