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71107">
      <w:pPr>
        <w:pStyle w:val="3"/>
        <w:rPr>
          <w:lang w:eastAsia="zh-CN"/>
        </w:rPr>
      </w:pPr>
      <w:bookmarkStart w:id="0" w:name="_Toc28128"/>
      <w:r>
        <w:rPr>
          <w:rFonts w:hint="eastAsia" w:ascii="微软雅黑" w:hAnsi="微软雅黑" w:eastAsia="微软雅黑"/>
          <w:lang w:eastAsia="zh-CN"/>
        </w:rPr>
        <w:t>五、总体设计</w:t>
      </w:r>
      <w:bookmarkEnd w:id="0"/>
    </w:p>
    <w:p w14:paraId="5D27D48D">
      <w:pPr>
        <w:pStyle w:val="4"/>
        <w:rPr>
          <w:lang w:eastAsia="zh-CN"/>
        </w:rPr>
      </w:pPr>
      <w:bookmarkStart w:id="1" w:name="_Toc119"/>
      <w:r>
        <w:rPr>
          <w:rFonts w:hint="eastAsia" w:ascii="微软雅黑" w:hAnsi="微软雅黑" w:eastAsia="微软雅黑"/>
          <w:lang w:eastAsia="zh-CN"/>
        </w:rPr>
        <w:t>5.1 系统架构设计</w:t>
      </w:r>
      <w:bookmarkEnd w:id="1"/>
    </w:p>
    <w:p w14:paraId="2874BFCA">
      <w:pPr>
        <w:pStyle w:val="5"/>
        <w:rPr>
          <w:lang w:eastAsia="zh-CN"/>
        </w:rPr>
      </w:pPr>
      <w:r>
        <w:rPr>
          <w:rFonts w:hint="eastAsia" w:ascii="微软雅黑" w:hAnsi="微软雅黑" w:eastAsia="微软雅黑"/>
          <w:lang w:eastAsia="zh-CN"/>
        </w:rPr>
        <w:t>5.1.1 分层架构</w:t>
      </w:r>
    </w:p>
    <w:p w14:paraId="4BD8324F">
      <w:pPr>
        <w:ind w:firstLine="440" w:firstLineChars="200"/>
        <w:rPr>
          <w:rFonts w:hint="eastAsia"/>
          <w:lang w:eastAsia="zh-CN"/>
        </w:rPr>
      </w:pPr>
      <w:r>
        <w:rPr>
          <w:rFonts w:hint="eastAsia"/>
          <w:lang w:eastAsia="zh-CN"/>
        </w:rPr>
        <w:t>系统采用四层架构，从上到下依次为：</w:t>
      </w:r>
    </w:p>
    <w:p w14:paraId="72292503">
      <w:pPr>
        <w:numPr>
          <w:ilvl w:val="0"/>
          <w:numId w:val="7"/>
        </w:numPr>
        <w:ind w:left="283"/>
        <w:rPr>
          <w:rFonts w:hint="eastAsia"/>
          <w:b/>
        </w:rPr>
      </w:pPr>
      <w:r>
        <w:rPr>
          <w:rFonts w:hint="eastAsia"/>
          <w:b/>
        </w:rPr>
        <w:t>客户经理工作台</w:t>
      </w:r>
    </w:p>
    <w:p w14:paraId="25E654A7">
      <w:pPr>
        <w:spacing w:after="100" w:line="324" w:lineRule="auto"/>
        <w:ind w:firstLine="440" w:firstLineChars="200"/>
        <w:rPr>
          <w:rFonts w:hint="eastAsia"/>
          <w:b/>
        </w:rPr>
      </w:pPr>
      <w:r>
        <w:t>客户经理工作台是个金营销NL2SQL交互平台面向业务人员提供智能查询服务的前端交互入口。该模块基于Vue3 + Element Plus技术框架进行开发，通过自然语言交互方式替代传统SQL查询方式，使客户经理能够直接使用业务语言完成客户查询、营销分析以及数据洞察获取。工作台负责接收查询请求、展示NL2SQL处理状态、呈现查询结果、提供智能辅助、保存历史查询记录，并对高风险操作触发二次确认。</w:t>
      </w:r>
    </w:p>
    <w:p w14:paraId="1921CC9A">
      <w:pPr>
        <w:numPr>
          <w:ilvl w:val="0"/>
          <w:numId w:val="7"/>
        </w:numPr>
        <w:ind w:left="283"/>
        <w:rPr>
          <w:rFonts w:hint="eastAsia"/>
          <w:b/>
        </w:rPr>
      </w:pPr>
      <w:r>
        <w:rPr>
          <w:rFonts w:hint="eastAsia"/>
          <w:b/>
        </w:rPr>
        <w:t>客户经理接入层</w:t>
      </w:r>
    </w:p>
    <w:p w14:paraId="1E598017">
      <w:pPr>
        <w:spacing w:after="100" w:line="324" w:lineRule="auto"/>
        <w:ind w:firstLine="440" w:firstLineChars="200"/>
      </w:pPr>
      <w:r>
        <w:t>采用Spring Boot + Spring Security实现统一接入。其职责是把不可信的前端请求转换为经过身份、权限、限流和参数校验的内部QueryRequest，再调用核心业务编排服务。接入层不负责生成SQL，也不直接连接Hive/Spark，从架构上隔离外部请求与数据执行环境。</w:t>
      </w:r>
    </w:p>
    <w:p w14:paraId="49656CF2">
      <w:pPr>
        <w:ind w:left="283"/>
        <w:rPr>
          <w:rFonts w:hint="eastAsia"/>
        </w:rPr>
      </w:pPr>
      <w:r>
        <w:rPr>
          <w:rFonts w:hint="eastAsia"/>
          <w:b/>
        </w:rPr>
        <w:t>(</w:t>
      </w:r>
      <w:r>
        <w:rPr>
          <w:rFonts w:hint="eastAsia"/>
          <w:b/>
          <w:lang w:val="en-US" w:eastAsia="zh-CN"/>
        </w:rPr>
        <w:t>3</w:t>
      </w:r>
      <w:r>
        <w:rPr>
          <w:rFonts w:hint="eastAsia"/>
          <w:b/>
        </w:rPr>
        <w:t>) 核心业务层</w:t>
      </w:r>
    </w:p>
    <w:p w14:paraId="72D6C797">
      <w:pPr>
        <w:spacing w:after="100" w:line="324" w:lineRule="auto"/>
        <w:ind w:firstLine="440" w:firstLineChars="200"/>
      </w:pPr>
      <w:r>
        <w:t>核心业务层是整个NL2SQL系统的控制核心。其职责不是简单地调用一次大模型，而是把一次用户查询拆成多个可验证阶段：接收标准化请求、识别查询意图、检索可用Schema、映射业务术语、检查条件完整性、发现歧义并反问、组织Prompt、调用大模型生成SQL、解析SQL AST、执行静态安全规则、评估查询成本、决定是否需要二次确认、路由到Spark/Hive执行、脱敏封装结果并形成审计信息。每一个阶段都必须产生可观测状态，以便发生错误时能够定位在模型、规则、数据库还是执行引擎。</w:t>
      </w:r>
    </w:p>
    <w:p w14:paraId="39EEEF22">
      <w:pPr>
        <w:ind w:left="283"/>
        <w:rPr>
          <w:rFonts w:hint="eastAsia"/>
        </w:rPr>
      </w:pPr>
      <w:r>
        <w:rPr>
          <w:rFonts w:hint="eastAsia"/>
          <w:b/>
        </w:rPr>
        <w:t>(</w:t>
      </w:r>
      <w:r>
        <w:rPr>
          <w:rFonts w:hint="eastAsia"/>
          <w:b/>
          <w:lang w:val="en-US" w:eastAsia="zh-CN"/>
        </w:rPr>
        <w:t>4</w:t>
      </w:r>
      <w:r>
        <w:rPr>
          <w:rFonts w:hint="eastAsia"/>
          <w:b/>
        </w:rPr>
        <w:t>) 大数据层</w:t>
      </w:r>
    </w:p>
    <w:p w14:paraId="09573301">
      <w:pPr>
        <w:spacing w:after="100" w:line="324" w:lineRule="auto"/>
        <w:ind w:firstLine="440" w:firstLineChars="200"/>
      </w:pPr>
      <w:r>
        <w:t>大数据层采用Spark + Hive作为客户数据仓库与查询执行环境。Hive负责主题数据的统一存储、元数据管理和分区组织，Spark SQL负责复杂分析查询执行。该层只承接经过核心业务层安全校验后的只读SQL，不直接接收用户自然语言，也不负责判断用户权限。</w:t>
      </w:r>
    </w:p>
    <w:p w14:paraId="38CA62FD">
      <w:pPr>
        <w:pStyle w:val="5"/>
      </w:pPr>
      <w:r>
        <w:rPr>
          <w:rFonts w:hint="eastAsia" w:ascii="微软雅黑" w:hAnsi="微软雅黑" w:eastAsia="微软雅黑"/>
        </w:rPr>
        <w:t>5.1.2 核心组件交互关系</w:t>
      </w:r>
    </w:p>
    <w:p w14:paraId="0F3D0E1B">
      <w:pPr>
        <w:ind w:firstLine="440" w:firstLineChars="200"/>
        <w:jc w:val="left"/>
        <w:rPr>
          <w:rFonts w:hint="eastAsia" w:eastAsia="微软雅黑"/>
          <w:lang w:eastAsia="zh-CN"/>
        </w:rPr>
      </w:pPr>
      <w:r>
        <w:rPr>
          <w:rFonts w:hint="eastAsia" w:eastAsia="微软雅黑"/>
          <w:lang w:eastAsia="zh-CN"/>
        </w:rPr>
        <w:t>系统主链路为：前端发起自然语言查询 — 接入层完成身份与数据权限控制 — 核心业务层完成意图理解、Schema检索、业务口径解析、SQL生成与安全校验 — Spark/Hive执行 — 结果脱敏与展示，各层通过明确的数据对象、接口边界和状态流转衔接。</w:t>
      </w:r>
    </w:p>
    <w:p w14:paraId="682582E6">
      <w:pPr>
        <w:jc w:val="center"/>
        <w:rPr>
          <w:rFonts w:hint="eastAsia" w:eastAsia="微软雅黑"/>
          <w:lang w:eastAsia="zh-CN"/>
        </w:rPr>
      </w:pPr>
      <w:r>
        <w:rPr>
          <w:rFonts w:hint="eastAsia" w:eastAsia="微软雅黑"/>
          <w:lang w:eastAsia="zh-CN"/>
        </w:rPr>
        <w:drawing>
          <wp:inline distT="0" distB="0" distL="114300" distR="114300">
            <wp:extent cx="5457825" cy="3495040"/>
            <wp:effectExtent l="0" t="0" r="9525" b="10160"/>
            <wp:docPr id="1" name="图片 1" descr="40d141c6f3d4e7f18a5f4212bcf36533_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0d141c6f3d4e7f18a5f4212bcf36533_origin"/>
                    <pic:cNvPicPr>
                      <a:picLocks noChangeAspect="1"/>
                    </pic:cNvPicPr>
                  </pic:nvPicPr>
                  <pic:blipFill>
                    <a:blip r:embed="rId7"/>
                    <a:stretch>
                      <a:fillRect/>
                    </a:stretch>
                  </pic:blipFill>
                  <pic:spPr>
                    <a:xfrm>
                      <a:off x="0" y="0"/>
                      <a:ext cx="5457825" cy="3495040"/>
                    </a:xfrm>
                    <a:prstGeom prst="rect">
                      <a:avLst/>
                    </a:prstGeom>
                  </pic:spPr>
                </pic:pic>
              </a:graphicData>
            </a:graphic>
          </wp:inline>
        </w:drawing>
      </w:r>
    </w:p>
    <w:p w14:paraId="033E41D5">
      <w:pPr>
        <w:jc w:val="center"/>
        <w:rPr>
          <w:rFonts w:hint="eastAsia"/>
          <w:lang w:eastAsia="zh-CN"/>
        </w:rPr>
      </w:pPr>
      <w:r>
        <w:rPr>
          <w:rFonts w:hint="eastAsia" w:ascii="宋体" w:hAnsi="宋体" w:eastAsia="宋体"/>
          <w:sz w:val="24"/>
          <w:lang w:eastAsia="zh-CN"/>
        </w:rPr>
        <w:t>图5-1 系统四层架构图</w:t>
      </w:r>
    </w:p>
    <w:p w14:paraId="5BD512E5">
      <w:pPr>
        <w:pStyle w:val="5"/>
        <w:ind w:firstLine="440" w:firstLineChars="200"/>
        <w:rPr>
          <w:rFonts w:hint="eastAsia" w:ascii="微软雅黑" w:hAnsi="微软雅黑" w:eastAsia="微软雅黑" w:cstheme="minorBidi"/>
          <w:b w:val="0"/>
          <w:bCs w:val="0"/>
          <w:color w:val="auto"/>
          <w:sz w:val="22"/>
          <w:szCs w:val="22"/>
          <w:lang w:val="en-US" w:eastAsia="zh-CN" w:bidi="ar-SA"/>
        </w:rPr>
      </w:pPr>
      <w:r>
        <w:rPr>
          <w:rFonts w:hint="eastAsia" w:ascii="微软雅黑" w:hAnsi="微软雅黑" w:eastAsia="微软雅黑" w:cstheme="minorBidi"/>
          <w:b w:val="0"/>
          <w:bCs w:val="0"/>
          <w:color w:val="auto"/>
          <w:sz w:val="22"/>
          <w:szCs w:val="22"/>
          <w:lang w:val="en-US" w:eastAsia="zh-CN" w:bidi="ar-SA"/>
        </w:rPr>
        <w:t>该系统构建了基于自然语言交互的四层数据服务平台。前端由客户经理通过对话式界面发起查询；接入层负责请求的安全过滤与标准化转换，隔离外部风险；核心层利用大模型技术，结合Schema检索、语义映射、安全审计及成本评估等多重机制，将业务意图转化为可执行的SQL；底层则由 Hive 和 Spark 组成的数据仓库集群提供稳定的数据存储与分析算力。整体架构实现了从“人找数据”到“数据找人”的转变，同时确保了企业数据的安全合规。</w:t>
      </w:r>
    </w:p>
    <w:p w14:paraId="71CA5D48">
      <w:pPr>
        <w:rPr>
          <w:rFonts w:hint="default"/>
          <w:lang w:val="en-US" w:eastAsia="zh-CN"/>
        </w:rPr>
      </w:pPr>
    </w:p>
    <w:p w14:paraId="637566E0">
      <w:pPr>
        <w:ind w:firstLine="440" w:firstLineChars="200"/>
        <w:rPr>
          <w:rFonts w:hint="default"/>
          <w:lang w:val="en-US" w:eastAsia="zh-CN"/>
        </w:rPr>
      </w:pPr>
      <w:r>
        <w:rPr>
          <w:rFonts w:hint="default"/>
          <w:lang w:val="en-US" w:eastAsia="zh-CN"/>
        </w:rPr>
        <w:t>一次典型查询的技术链路如下：</w:t>
      </w:r>
    </w:p>
    <w:p w14:paraId="75D3F26B">
      <w:pPr>
        <w:numPr>
          <w:ilvl w:val="0"/>
          <w:numId w:val="8"/>
        </w:numPr>
        <w:ind w:left="0" w:leftChars="0" w:firstLine="0" w:firstLineChars="0"/>
        <w:rPr>
          <w:rFonts w:hint="default"/>
          <w:lang w:val="en-US" w:eastAsia="zh-CN"/>
        </w:rPr>
      </w:pPr>
      <w:r>
        <w:rPr>
          <w:rFonts w:hint="default"/>
          <w:lang w:val="en-US" w:eastAsia="zh-CN"/>
        </w:rPr>
        <w:t>Vue3提交自然语言问题 → Spring Boot /api/nl2sql/query</w:t>
      </w:r>
    </w:p>
    <w:p w14:paraId="142FCA20">
      <w:pPr>
        <w:numPr>
          <w:ilvl w:val="0"/>
          <w:numId w:val="8"/>
        </w:numPr>
        <w:ind w:left="0" w:leftChars="0" w:firstLine="0" w:firstLineChars="0"/>
        <w:rPr>
          <w:rFonts w:hint="default"/>
          <w:lang w:val="en-US" w:eastAsia="zh-CN"/>
        </w:rPr>
      </w:pPr>
      <w:r>
        <w:rPr>
          <w:rFonts w:hint="default"/>
          <w:lang w:val="en-US" w:eastAsia="zh-CN"/>
        </w:rPr>
        <w:t>SecurityFilterChain校验JWT → SecurityContext建立当前主体</w:t>
      </w:r>
    </w:p>
    <w:p w14:paraId="0D3D972C">
      <w:pPr>
        <w:numPr>
          <w:ilvl w:val="0"/>
          <w:numId w:val="8"/>
        </w:numPr>
        <w:ind w:left="0" w:leftChars="0" w:firstLine="0" w:firstLineChars="0"/>
        <w:rPr>
          <w:rFonts w:hint="default"/>
          <w:lang w:val="en-US" w:eastAsia="zh-CN"/>
        </w:rPr>
      </w:pPr>
      <w:r>
        <w:rPr>
          <w:rFonts w:hint="default"/>
          <w:lang w:val="en-US" w:eastAsia="zh-CN"/>
        </w:rPr>
        <w:t>QueryOrchestrator创建QueryContext(requestId, traceId, dataScope)</w:t>
      </w:r>
    </w:p>
    <w:p w14:paraId="12E1F3D3">
      <w:pPr>
        <w:numPr>
          <w:ilvl w:val="0"/>
          <w:numId w:val="8"/>
        </w:numPr>
        <w:ind w:left="0" w:leftChars="0" w:firstLine="0" w:firstLineChars="0"/>
        <w:rPr>
          <w:rFonts w:hint="default"/>
          <w:lang w:val="en-US" w:eastAsia="zh-CN"/>
        </w:rPr>
      </w:pPr>
      <w:r>
        <w:rPr>
          <w:rFonts w:hint="default"/>
          <w:lang w:val="en-US" w:eastAsia="zh-CN"/>
        </w:rPr>
        <w:t>IntentService调用LLMClient获得结构化Intent</w:t>
      </w:r>
    </w:p>
    <w:p w14:paraId="012DAB7B">
      <w:pPr>
        <w:numPr>
          <w:ilvl w:val="0"/>
          <w:numId w:val="8"/>
        </w:numPr>
        <w:ind w:left="0" w:leftChars="0" w:firstLine="0" w:firstLineChars="0"/>
        <w:rPr>
          <w:rFonts w:hint="default"/>
          <w:lang w:val="en-US" w:eastAsia="zh-CN"/>
        </w:rPr>
      </w:pPr>
      <w:r>
        <w:rPr>
          <w:rFonts w:hint="default"/>
          <w:lang w:val="en-US" w:eastAsia="zh-CN"/>
        </w:rPr>
        <w:t>SchemaService调用Milvus + Caffeine检索Schema/术语候选</w:t>
      </w:r>
    </w:p>
    <w:p w14:paraId="6EE6FEF3">
      <w:pPr>
        <w:numPr>
          <w:ilvl w:val="0"/>
          <w:numId w:val="8"/>
        </w:numPr>
        <w:ind w:left="0" w:leftChars="0" w:firstLine="0" w:firstLineChars="0"/>
        <w:rPr>
          <w:rFonts w:hint="default"/>
          <w:lang w:val="en-US" w:eastAsia="zh-CN"/>
        </w:rPr>
      </w:pPr>
      <w:r>
        <w:rPr>
          <w:rFonts w:hint="default"/>
          <w:lang w:val="en-US" w:eastAsia="zh-CN"/>
        </w:rPr>
        <w:t>RuleEngine执行RequiredSlot、Permission、Conflict规则</w:t>
      </w:r>
    </w:p>
    <w:p w14:paraId="23EBF63F">
      <w:pPr>
        <w:numPr>
          <w:ilvl w:val="0"/>
          <w:numId w:val="8"/>
        </w:numPr>
        <w:ind w:left="0" w:leftChars="0" w:firstLine="0" w:firstLineChars="0"/>
        <w:rPr>
          <w:rFonts w:hint="default"/>
          <w:lang w:val="en-US" w:eastAsia="zh-CN"/>
        </w:rPr>
      </w:pPr>
      <w:r>
        <w:rPr>
          <w:rFonts w:hint="default"/>
          <w:lang w:val="en-US" w:eastAsia="zh-CN"/>
        </w:rPr>
        <w:t>若不完整 → QuestionService返回ASKING，不进入SQL生成</w:t>
      </w:r>
    </w:p>
    <w:p w14:paraId="1B9517F4">
      <w:pPr>
        <w:numPr>
          <w:ilvl w:val="0"/>
          <w:numId w:val="8"/>
        </w:numPr>
        <w:ind w:left="0" w:leftChars="0" w:firstLine="0" w:firstLineChars="0"/>
        <w:rPr>
          <w:rFonts w:hint="default"/>
          <w:lang w:val="en-US" w:eastAsia="zh-CN"/>
        </w:rPr>
      </w:pPr>
      <w:r>
        <w:rPr>
          <w:rFonts w:hint="default"/>
          <w:lang w:val="en-US" w:eastAsia="zh-CN"/>
        </w:rPr>
        <w:t>PromptService组装Schema + Metric + Intent + Security Context</w:t>
      </w:r>
    </w:p>
    <w:p w14:paraId="4217DDC9">
      <w:pPr>
        <w:numPr>
          <w:ilvl w:val="0"/>
          <w:numId w:val="8"/>
        </w:numPr>
        <w:ind w:left="0" w:leftChars="0" w:firstLine="0" w:firstLineChars="0"/>
        <w:rPr>
          <w:rFonts w:hint="default"/>
          <w:lang w:val="en-US" w:eastAsia="zh-CN"/>
        </w:rPr>
      </w:pPr>
      <w:r>
        <w:rPr>
          <w:rFonts w:hint="default"/>
          <w:lang w:val="en-US" w:eastAsia="zh-CN"/>
        </w:rPr>
        <w:t>LLMClient生成结构化SQL候选</w:t>
      </w:r>
    </w:p>
    <w:p w14:paraId="374A6871">
      <w:pPr>
        <w:numPr>
          <w:ilvl w:val="0"/>
          <w:numId w:val="8"/>
        </w:numPr>
        <w:ind w:left="0" w:leftChars="0" w:firstLine="0" w:firstLineChars="0"/>
        <w:rPr>
          <w:rFonts w:hint="default"/>
          <w:lang w:val="en-US" w:eastAsia="zh-CN"/>
        </w:rPr>
      </w:pPr>
      <w:r>
        <w:rPr>
          <w:rFonts w:hint="default"/>
          <w:lang w:val="en-US" w:eastAsia="zh-CN"/>
        </w:rPr>
        <w:t>JSqlParser构建AST → Table/Column/Join/Function/ReadOnly校验</w:t>
      </w:r>
    </w:p>
    <w:p w14:paraId="491EAAC8">
      <w:pPr>
        <w:numPr>
          <w:ilvl w:val="0"/>
          <w:numId w:val="8"/>
        </w:numPr>
        <w:ind w:left="0" w:leftChars="0" w:firstLine="0" w:firstLineChars="0"/>
        <w:rPr>
          <w:rFonts w:hint="default"/>
          <w:lang w:val="en-US" w:eastAsia="zh-CN"/>
        </w:rPr>
      </w:pPr>
      <w:r>
        <w:rPr>
          <w:rFonts w:hint="default"/>
          <w:lang w:val="en-US" w:eastAsia="zh-CN"/>
        </w:rPr>
        <w:t>SqlCostService执行EXPLAIN或规则估算 → 判断普通/高成本</w:t>
      </w:r>
    </w:p>
    <w:p w14:paraId="524BA558">
      <w:pPr>
        <w:numPr>
          <w:ilvl w:val="0"/>
          <w:numId w:val="8"/>
        </w:numPr>
        <w:ind w:left="0" w:leftChars="0" w:firstLine="0" w:firstLineChars="0"/>
        <w:rPr>
          <w:rFonts w:hint="default"/>
          <w:lang w:val="en-US" w:eastAsia="zh-CN"/>
        </w:rPr>
      </w:pPr>
      <w:r>
        <w:rPr>
          <w:rFonts w:hint="default"/>
          <w:lang w:val="en-US" w:eastAsia="zh-CN"/>
        </w:rPr>
        <w:t>高成本/敏感查询 → 生成一次性confirmToken等待前端确认</w:t>
      </w:r>
    </w:p>
    <w:p w14:paraId="51EA66F5">
      <w:pPr>
        <w:numPr>
          <w:ilvl w:val="0"/>
          <w:numId w:val="8"/>
        </w:numPr>
        <w:ind w:left="0" w:leftChars="0" w:firstLine="0" w:firstLineChars="0"/>
        <w:rPr>
          <w:rFonts w:hint="default"/>
          <w:lang w:val="en-US" w:eastAsia="zh-CN"/>
        </w:rPr>
      </w:pPr>
      <w:r>
        <w:rPr>
          <w:rFonts w:hint="default"/>
          <w:lang w:val="en-US" w:eastAsia="zh-CN"/>
        </w:rPr>
        <w:t>QueryExecutionGateway提交Spark SQL → 返回queryTaskId</w:t>
      </w:r>
    </w:p>
    <w:p w14:paraId="21331BE7">
      <w:pPr>
        <w:numPr>
          <w:ilvl w:val="0"/>
          <w:numId w:val="8"/>
        </w:numPr>
        <w:ind w:left="0" w:leftChars="0" w:firstLine="0" w:firstLineChars="0"/>
        <w:rPr>
          <w:rFonts w:hint="default"/>
          <w:lang w:val="en-US" w:eastAsia="zh-CN"/>
        </w:rPr>
      </w:pPr>
      <w:r>
        <w:rPr>
          <w:rFonts w:hint="default"/>
          <w:lang w:val="en-US" w:eastAsia="zh-CN"/>
        </w:rPr>
        <w:t>TaskManager轮询/接收状态 → SUCCEEDED后读取结果</w:t>
      </w:r>
    </w:p>
    <w:p w14:paraId="477886D2">
      <w:pPr>
        <w:numPr>
          <w:ilvl w:val="0"/>
          <w:numId w:val="8"/>
        </w:numPr>
        <w:ind w:left="0" w:leftChars="0" w:firstLine="0" w:firstLineChars="0"/>
        <w:rPr>
          <w:rFonts w:hint="default"/>
          <w:lang w:val="en-US" w:eastAsia="zh-CN"/>
        </w:rPr>
      </w:pPr>
      <w:r>
        <w:rPr>
          <w:rFonts w:hint="default"/>
          <w:lang w:val="en-US" w:eastAsia="zh-CN"/>
        </w:rPr>
        <w:t>ResultService执行脱敏、摘要、口径说明并写审计</w:t>
      </w:r>
    </w:p>
    <w:p w14:paraId="3C011F53">
      <w:pPr>
        <w:numPr>
          <w:ilvl w:val="0"/>
          <w:numId w:val="8"/>
        </w:numPr>
        <w:ind w:left="0" w:leftChars="0" w:firstLine="0" w:firstLineChars="0"/>
        <w:rPr>
          <w:rFonts w:hint="default"/>
          <w:lang w:val="en-US" w:eastAsia="zh-CN"/>
        </w:rPr>
      </w:pPr>
      <w:r>
        <w:rPr>
          <w:rFonts w:hint="default"/>
          <w:lang w:val="en-US" w:eastAsia="zh-CN"/>
        </w:rPr>
        <w:t>Vue3展示结果，前端只接收已脱敏数据</w:t>
      </w:r>
    </w:p>
    <w:p w14:paraId="3A8DCCA8">
      <w:pPr>
        <w:pStyle w:val="5"/>
        <w:rPr>
          <w:rFonts w:hint="eastAsia" w:ascii="微软雅黑" w:hAnsi="微软雅黑" w:eastAsia="微软雅黑"/>
          <w:lang w:eastAsia="zh-CN"/>
        </w:rPr>
      </w:pPr>
      <w:r>
        <w:rPr>
          <w:rFonts w:hint="eastAsia" w:ascii="微软雅黑" w:hAnsi="微软雅黑" w:eastAsia="微软雅黑"/>
          <w:lang w:eastAsia="zh-CN"/>
        </w:rPr>
        <w:t>5.1.3 架构关键决策</w:t>
      </w:r>
    </w:p>
    <w:tbl>
      <w:tblPr>
        <w:tblW w:w="9435" w:type="dxa"/>
        <w:tblInd w:w="-368"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shd w:val="clear"/>
        <w:tblLayout w:type="autofit"/>
        <w:tblCellMar>
          <w:top w:w="15" w:type="dxa"/>
          <w:left w:w="15" w:type="dxa"/>
          <w:bottom w:w="15" w:type="dxa"/>
          <w:right w:w="15" w:type="dxa"/>
        </w:tblCellMar>
      </w:tblPr>
      <w:tblGrid>
        <w:gridCol w:w="1332"/>
        <w:gridCol w:w="1884"/>
        <w:gridCol w:w="3237"/>
        <w:gridCol w:w="2982"/>
      </w:tblGrid>
      <w:tr w14:paraId="3C30D8DC">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15" w:type="dxa"/>
            <w:left w:w="15" w:type="dxa"/>
            <w:bottom w:w="15" w:type="dxa"/>
            <w:right w:w="15" w:type="dxa"/>
          </w:tblCellMar>
        </w:tblPrEx>
        <w:trPr>
          <w:tblHeader/>
        </w:trPr>
        <w:tc>
          <w:tcPr>
            <w:tcW w:w="1332" w:type="dxa"/>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4E332908">
            <w:pPr>
              <w:spacing w:before="0"/>
              <w:jc w:val="center"/>
              <w:rPr>
                <w:rFonts w:hint="eastAsia" w:cstheme="majorBidi"/>
                <w:b/>
                <w:bCs/>
                <w:sz w:val="19"/>
                <w:lang w:eastAsia="zh-CN"/>
              </w:rPr>
            </w:pPr>
            <w:r>
              <w:rPr>
                <w:rFonts w:hint="default" w:cstheme="majorBidi"/>
                <w:b/>
                <w:bCs/>
                <w:sz w:val="19"/>
                <w:lang w:val="en-US" w:eastAsia="zh-CN"/>
              </w:rPr>
              <w:t>ADR编号</w:t>
            </w:r>
          </w:p>
        </w:tc>
        <w:tc>
          <w:tcPr>
            <w:tcW w:w="1884"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07D00D1C">
            <w:pPr>
              <w:spacing w:before="0"/>
              <w:rPr>
                <w:rFonts w:hint="default" w:cstheme="majorBidi"/>
                <w:b/>
                <w:bCs/>
                <w:sz w:val="19"/>
                <w:lang w:eastAsia="zh-CN"/>
              </w:rPr>
            </w:pPr>
            <w:r>
              <w:rPr>
                <w:rFonts w:hint="default" w:cstheme="majorBidi"/>
                <w:b/>
                <w:bCs/>
                <w:sz w:val="19"/>
                <w:lang w:val="en-US" w:eastAsia="zh-CN"/>
              </w:rPr>
              <w:t>决策</w:t>
            </w:r>
          </w:p>
        </w:tc>
        <w:tc>
          <w:tcPr>
            <w:tcW w:w="3237"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3A9FD091">
            <w:pPr>
              <w:spacing w:before="0"/>
              <w:rPr>
                <w:rFonts w:hint="default" w:cstheme="majorBidi"/>
                <w:b/>
                <w:bCs/>
                <w:sz w:val="19"/>
                <w:lang w:eastAsia="zh-CN"/>
              </w:rPr>
            </w:pPr>
            <w:r>
              <w:rPr>
                <w:rFonts w:hint="default" w:cstheme="majorBidi"/>
                <w:b/>
                <w:bCs/>
                <w:sz w:val="19"/>
                <w:lang w:val="en-US" w:eastAsia="zh-CN"/>
              </w:rPr>
              <w:t>理由</w:t>
            </w:r>
          </w:p>
        </w:tc>
        <w:tc>
          <w:tcPr>
            <w:tcW w:w="2982"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6145746D">
            <w:pPr>
              <w:spacing w:before="0"/>
              <w:rPr>
                <w:rFonts w:hint="default" w:cstheme="majorBidi"/>
                <w:b/>
                <w:bCs/>
                <w:sz w:val="19"/>
                <w:lang w:eastAsia="zh-CN"/>
              </w:rPr>
            </w:pPr>
            <w:r>
              <w:rPr>
                <w:rFonts w:hint="default" w:cstheme="majorBidi"/>
                <w:b/>
                <w:bCs/>
                <w:sz w:val="19"/>
                <w:lang w:val="en-US" w:eastAsia="zh-CN"/>
              </w:rPr>
              <w:t>后果</w:t>
            </w:r>
          </w:p>
        </w:tc>
      </w:tr>
      <w:tr w14:paraId="71B69AF0">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shd w:val="clear"/>
          <w:tblCellMar>
            <w:top w:w="15" w:type="dxa"/>
            <w:left w:w="15" w:type="dxa"/>
            <w:bottom w:w="15" w:type="dxa"/>
            <w:right w:w="15" w:type="dxa"/>
          </w:tblCellMar>
        </w:tblPrEx>
        <w:tc>
          <w:tcPr>
            <w:tcW w:w="1332" w:type="dxa"/>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7C688DD6">
            <w:pPr>
              <w:spacing w:before="0"/>
              <w:jc w:val="center"/>
              <w:rPr>
                <w:rFonts w:hint="default" w:cstheme="majorBidi"/>
                <w:b/>
                <w:bCs/>
                <w:sz w:val="19"/>
                <w:lang w:eastAsia="zh-CN"/>
              </w:rPr>
            </w:pPr>
            <w:r>
              <w:rPr>
                <w:rFonts w:hint="default" w:cstheme="majorBidi"/>
                <w:b/>
                <w:bCs/>
                <w:sz w:val="19"/>
                <w:lang w:val="en-US" w:eastAsia="zh-CN"/>
              </w:rPr>
              <w:t>ADR-001</w:t>
            </w:r>
          </w:p>
        </w:tc>
        <w:tc>
          <w:tcPr>
            <w:tcW w:w="1884"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14BBD74D">
            <w:pPr>
              <w:spacing w:before="0"/>
              <w:rPr>
                <w:rFonts w:hint="default" w:cstheme="majorBidi"/>
                <w:b/>
                <w:bCs/>
                <w:sz w:val="19"/>
                <w:lang w:eastAsia="zh-CN"/>
              </w:rPr>
            </w:pPr>
            <w:r>
              <w:rPr>
                <w:rFonts w:hint="default" w:cstheme="majorBidi"/>
                <w:b/>
                <w:bCs/>
                <w:sz w:val="19"/>
                <w:lang w:val="en-US" w:eastAsia="zh-CN"/>
              </w:rPr>
              <w:t>LLM采用本地部署</w:t>
            </w:r>
          </w:p>
        </w:tc>
        <w:tc>
          <w:tcPr>
            <w:tcW w:w="3237"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2EDA3BCF">
            <w:pPr>
              <w:spacing w:before="0"/>
              <w:rPr>
                <w:rFonts w:hint="default" w:cstheme="majorBidi"/>
                <w:b/>
                <w:bCs/>
                <w:sz w:val="19"/>
                <w:lang w:eastAsia="zh-CN"/>
              </w:rPr>
            </w:pPr>
            <w:r>
              <w:rPr>
                <w:rFonts w:hint="default" w:cstheme="majorBidi"/>
                <w:b/>
                <w:bCs/>
                <w:sz w:val="19"/>
                <w:lang w:val="en-US" w:eastAsia="zh-CN"/>
              </w:rPr>
              <w:t>数据出境合规 + 降低API调用成本</w:t>
            </w:r>
          </w:p>
        </w:tc>
        <w:tc>
          <w:tcPr>
            <w:tcW w:w="2982"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0" w:type="dxa"/>
            </w:tcMar>
            <w:vAlign w:val="center"/>
          </w:tcPr>
          <w:p w14:paraId="2C01BFF4">
            <w:pPr>
              <w:spacing w:before="0"/>
              <w:rPr>
                <w:rFonts w:hint="default" w:cstheme="majorBidi"/>
                <w:b/>
                <w:bCs/>
                <w:sz w:val="19"/>
                <w:lang w:eastAsia="zh-CN"/>
              </w:rPr>
            </w:pPr>
            <w:r>
              <w:rPr>
                <w:rFonts w:hint="default" w:cstheme="majorBidi"/>
                <w:b/>
                <w:bCs/>
                <w:sz w:val="19"/>
                <w:lang w:val="en-US" w:eastAsia="zh-CN"/>
              </w:rPr>
              <w:t>需自建GPU推理集群，运维复杂度增加</w:t>
            </w:r>
          </w:p>
        </w:tc>
      </w:tr>
      <w:tr w14:paraId="1FEE8104">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15" w:type="dxa"/>
            <w:left w:w="15" w:type="dxa"/>
            <w:bottom w:w="15" w:type="dxa"/>
            <w:right w:w="15" w:type="dxa"/>
          </w:tblCellMar>
        </w:tblPrEx>
        <w:tc>
          <w:tcPr>
            <w:tcW w:w="1332" w:type="dxa"/>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456274FE">
            <w:pPr>
              <w:spacing w:before="0"/>
              <w:jc w:val="center"/>
              <w:rPr>
                <w:rFonts w:hint="default" w:cstheme="majorBidi"/>
                <w:b/>
                <w:bCs/>
                <w:sz w:val="19"/>
                <w:lang w:eastAsia="zh-CN"/>
              </w:rPr>
            </w:pPr>
            <w:r>
              <w:rPr>
                <w:rFonts w:hint="default" w:cstheme="majorBidi"/>
                <w:b/>
                <w:bCs/>
                <w:sz w:val="19"/>
                <w:lang w:val="en-US" w:eastAsia="zh-CN"/>
              </w:rPr>
              <w:t>ADR-002</w:t>
            </w:r>
          </w:p>
        </w:tc>
        <w:tc>
          <w:tcPr>
            <w:tcW w:w="1884"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2D8C8336">
            <w:pPr>
              <w:spacing w:before="0"/>
              <w:rPr>
                <w:rFonts w:hint="default" w:cstheme="majorBidi"/>
                <w:b/>
                <w:bCs/>
                <w:sz w:val="19"/>
                <w:lang w:eastAsia="zh-CN"/>
              </w:rPr>
            </w:pPr>
            <w:r>
              <w:rPr>
                <w:rFonts w:hint="default" w:cstheme="majorBidi"/>
                <w:b/>
                <w:bCs/>
                <w:sz w:val="19"/>
                <w:lang w:val="en-US" w:eastAsia="zh-CN"/>
              </w:rPr>
              <w:t>接入层与核心层分离</w:t>
            </w:r>
          </w:p>
        </w:tc>
        <w:tc>
          <w:tcPr>
            <w:tcW w:w="3237"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3B397F25">
            <w:pPr>
              <w:spacing w:before="0"/>
              <w:rPr>
                <w:rFonts w:hint="default" w:cstheme="majorBidi"/>
                <w:b/>
                <w:bCs/>
                <w:sz w:val="19"/>
                <w:lang w:eastAsia="zh-CN"/>
              </w:rPr>
            </w:pPr>
            <w:r>
              <w:rPr>
                <w:rFonts w:hint="default" w:cstheme="majorBidi"/>
                <w:b/>
                <w:bCs/>
                <w:sz w:val="19"/>
                <w:lang w:val="en-US" w:eastAsia="zh-CN"/>
              </w:rPr>
              <w:t>隔离外部请求与数据执行环境，形成纵深防御</w:t>
            </w:r>
          </w:p>
        </w:tc>
        <w:tc>
          <w:tcPr>
            <w:tcW w:w="2982"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0" w:type="dxa"/>
            </w:tcMar>
            <w:vAlign w:val="center"/>
          </w:tcPr>
          <w:p w14:paraId="3D9BA1E5">
            <w:pPr>
              <w:spacing w:before="0"/>
              <w:rPr>
                <w:rFonts w:hint="default" w:cstheme="majorBidi"/>
                <w:b/>
                <w:bCs/>
                <w:sz w:val="19"/>
                <w:lang w:eastAsia="zh-CN"/>
              </w:rPr>
            </w:pPr>
            <w:r>
              <w:rPr>
                <w:rFonts w:hint="default" w:cstheme="majorBidi"/>
                <w:b/>
                <w:bCs/>
                <w:sz w:val="19"/>
                <w:lang w:val="en-US" w:eastAsia="zh-CN"/>
              </w:rPr>
              <w:t>增加一次服务间调用开销，但提升了安全性</w:t>
            </w:r>
          </w:p>
        </w:tc>
      </w:tr>
      <w:tr w14:paraId="1DB3B85E">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shd w:val="clear"/>
          <w:tblCellMar>
            <w:top w:w="15" w:type="dxa"/>
            <w:left w:w="15" w:type="dxa"/>
            <w:bottom w:w="15" w:type="dxa"/>
            <w:right w:w="15" w:type="dxa"/>
          </w:tblCellMar>
        </w:tblPrEx>
        <w:tc>
          <w:tcPr>
            <w:tcW w:w="1332" w:type="dxa"/>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4FFFE38C">
            <w:pPr>
              <w:spacing w:before="0"/>
              <w:jc w:val="center"/>
              <w:rPr>
                <w:rFonts w:hint="default" w:cstheme="majorBidi"/>
                <w:b/>
                <w:bCs/>
                <w:sz w:val="19"/>
                <w:lang w:eastAsia="zh-CN"/>
              </w:rPr>
            </w:pPr>
            <w:r>
              <w:rPr>
                <w:rFonts w:hint="default" w:cstheme="majorBidi"/>
                <w:b/>
                <w:bCs/>
                <w:sz w:val="19"/>
                <w:lang w:val="en-US" w:eastAsia="zh-CN"/>
              </w:rPr>
              <w:t>ADR-003</w:t>
            </w:r>
          </w:p>
        </w:tc>
        <w:tc>
          <w:tcPr>
            <w:tcW w:w="1884"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1177207F">
            <w:pPr>
              <w:spacing w:before="0"/>
              <w:rPr>
                <w:rFonts w:hint="default" w:cstheme="majorBidi"/>
                <w:b/>
                <w:bCs/>
                <w:sz w:val="19"/>
                <w:lang w:eastAsia="zh-CN"/>
              </w:rPr>
            </w:pPr>
            <w:r>
              <w:rPr>
                <w:rFonts w:hint="default" w:cstheme="majorBidi"/>
                <w:b/>
                <w:bCs/>
                <w:sz w:val="19"/>
                <w:lang w:val="en-US" w:eastAsia="zh-CN"/>
              </w:rPr>
              <w:t>采用AST静态SQL校验</w:t>
            </w:r>
          </w:p>
        </w:tc>
        <w:tc>
          <w:tcPr>
            <w:tcW w:w="3237"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43EDB21A">
            <w:pPr>
              <w:spacing w:before="0"/>
              <w:rPr>
                <w:rFonts w:hint="default" w:cstheme="majorBidi"/>
                <w:b/>
                <w:bCs/>
                <w:sz w:val="19"/>
                <w:lang w:eastAsia="zh-CN"/>
              </w:rPr>
            </w:pPr>
            <w:r>
              <w:rPr>
                <w:rFonts w:hint="default" w:cstheme="majorBidi"/>
                <w:b/>
                <w:bCs/>
                <w:sz w:val="19"/>
                <w:lang w:val="en-US" w:eastAsia="zh-CN"/>
              </w:rPr>
              <w:t>不依赖模型自律，从语法树层面强制执行安全规则</w:t>
            </w:r>
          </w:p>
        </w:tc>
        <w:tc>
          <w:tcPr>
            <w:tcW w:w="2982"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0" w:type="dxa"/>
            </w:tcMar>
            <w:vAlign w:val="center"/>
          </w:tcPr>
          <w:p w14:paraId="090A8FC1">
            <w:pPr>
              <w:spacing w:before="0"/>
              <w:rPr>
                <w:rFonts w:hint="default" w:cstheme="majorBidi"/>
                <w:b/>
                <w:bCs/>
                <w:sz w:val="19"/>
                <w:lang w:eastAsia="zh-CN"/>
              </w:rPr>
            </w:pPr>
            <w:r>
              <w:rPr>
                <w:rFonts w:hint="default" w:cstheme="majorBidi"/>
                <w:b/>
                <w:bCs/>
                <w:sz w:val="19"/>
                <w:lang w:val="en-US" w:eastAsia="zh-CN"/>
              </w:rPr>
              <w:t>需引入JSqlParser并维护白名单规则集</w:t>
            </w:r>
          </w:p>
        </w:tc>
      </w:tr>
      <w:tr w14:paraId="725B305E">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15" w:type="dxa"/>
            <w:left w:w="15" w:type="dxa"/>
            <w:bottom w:w="15" w:type="dxa"/>
            <w:right w:w="15" w:type="dxa"/>
          </w:tblCellMar>
        </w:tblPrEx>
        <w:tc>
          <w:tcPr>
            <w:tcW w:w="1332" w:type="dxa"/>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72F0ED38">
            <w:pPr>
              <w:spacing w:before="0"/>
              <w:jc w:val="center"/>
              <w:rPr>
                <w:rFonts w:hint="default" w:cstheme="majorBidi"/>
                <w:b/>
                <w:bCs/>
                <w:sz w:val="19"/>
                <w:lang w:eastAsia="zh-CN"/>
              </w:rPr>
            </w:pPr>
            <w:r>
              <w:rPr>
                <w:rFonts w:hint="default" w:cstheme="majorBidi"/>
                <w:b/>
                <w:bCs/>
                <w:sz w:val="19"/>
                <w:lang w:val="en-US" w:eastAsia="zh-CN"/>
              </w:rPr>
              <w:t>ADR-004</w:t>
            </w:r>
          </w:p>
        </w:tc>
        <w:tc>
          <w:tcPr>
            <w:tcW w:w="1884"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15B1A080">
            <w:pPr>
              <w:spacing w:before="0"/>
              <w:rPr>
                <w:rFonts w:hint="default" w:cstheme="majorBidi"/>
                <w:b/>
                <w:bCs/>
                <w:sz w:val="19"/>
                <w:lang w:eastAsia="zh-CN"/>
              </w:rPr>
            </w:pPr>
            <w:r>
              <w:rPr>
                <w:rFonts w:hint="default" w:cstheme="majorBidi"/>
                <w:b/>
                <w:bCs/>
                <w:sz w:val="19"/>
                <w:lang w:val="en-US" w:eastAsia="zh-CN"/>
              </w:rPr>
              <w:t>状态机驱动异步编排</w:t>
            </w:r>
          </w:p>
        </w:tc>
        <w:tc>
          <w:tcPr>
            <w:tcW w:w="3237"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37336E0E">
            <w:pPr>
              <w:spacing w:before="0"/>
              <w:rPr>
                <w:rFonts w:hint="default" w:cstheme="majorBidi"/>
                <w:b/>
                <w:bCs/>
                <w:sz w:val="19"/>
                <w:lang w:eastAsia="zh-CN"/>
              </w:rPr>
            </w:pPr>
            <w:r>
              <w:rPr>
                <w:rFonts w:hint="default" w:cstheme="majorBidi"/>
                <w:b/>
                <w:bCs/>
                <w:sz w:val="19"/>
                <w:lang w:val="en-US" w:eastAsia="zh-CN"/>
              </w:rPr>
              <w:t>每个阶段可观测、可恢复，便于问题定位与幂等控制</w:t>
            </w:r>
          </w:p>
        </w:tc>
        <w:tc>
          <w:tcPr>
            <w:tcW w:w="2982"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0" w:type="dxa"/>
            </w:tcMar>
            <w:vAlign w:val="center"/>
          </w:tcPr>
          <w:p w14:paraId="2733C2B6">
            <w:pPr>
              <w:spacing w:before="0"/>
              <w:rPr>
                <w:rFonts w:hint="default" w:cstheme="majorBidi"/>
                <w:b/>
                <w:bCs/>
                <w:sz w:val="19"/>
                <w:lang w:eastAsia="zh-CN"/>
              </w:rPr>
            </w:pPr>
            <w:r>
              <w:rPr>
                <w:rFonts w:hint="default" w:cstheme="majorBidi"/>
                <w:b/>
                <w:bCs/>
                <w:sz w:val="19"/>
                <w:lang w:val="en-US" w:eastAsia="zh-CN"/>
              </w:rPr>
              <w:t>增加状态存储和流转管理复杂度</w:t>
            </w:r>
          </w:p>
        </w:tc>
      </w:tr>
      <w:tr w14:paraId="5A791E12">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shd w:val="clear"/>
          <w:tblCellMar>
            <w:top w:w="15" w:type="dxa"/>
            <w:left w:w="15" w:type="dxa"/>
            <w:bottom w:w="15" w:type="dxa"/>
            <w:right w:w="15" w:type="dxa"/>
          </w:tblCellMar>
        </w:tblPrEx>
        <w:tc>
          <w:tcPr>
            <w:tcW w:w="1332" w:type="dxa"/>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457A49D6">
            <w:pPr>
              <w:spacing w:before="0"/>
              <w:jc w:val="center"/>
              <w:rPr>
                <w:rFonts w:hint="default" w:cstheme="majorBidi"/>
                <w:b/>
                <w:bCs/>
                <w:sz w:val="19"/>
                <w:lang w:eastAsia="zh-CN"/>
              </w:rPr>
            </w:pPr>
            <w:r>
              <w:rPr>
                <w:rFonts w:hint="default" w:cstheme="majorBidi"/>
                <w:b/>
                <w:bCs/>
                <w:sz w:val="19"/>
                <w:lang w:val="en-US" w:eastAsia="zh-CN"/>
              </w:rPr>
              <w:t>ADR-005</w:t>
            </w:r>
          </w:p>
        </w:tc>
        <w:tc>
          <w:tcPr>
            <w:tcW w:w="1884"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29DA436C">
            <w:pPr>
              <w:spacing w:before="0"/>
              <w:rPr>
                <w:rFonts w:hint="default" w:cstheme="majorBidi"/>
                <w:b/>
                <w:bCs/>
                <w:sz w:val="19"/>
                <w:lang w:eastAsia="zh-CN"/>
              </w:rPr>
            </w:pPr>
            <w:r>
              <w:rPr>
                <w:rFonts w:hint="default" w:cstheme="majorBidi"/>
                <w:b/>
                <w:bCs/>
                <w:sz w:val="19"/>
                <w:lang w:val="en-US" w:eastAsia="zh-CN"/>
              </w:rPr>
              <w:t>指标口径由术语库绑定</w:t>
            </w:r>
          </w:p>
        </w:tc>
        <w:tc>
          <w:tcPr>
            <w:tcW w:w="3237"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7798BB81">
            <w:pPr>
              <w:spacing w:before="0"/>
              <w:rPr>
                <w:rFonts w:hint="default" w:cstheme="majorBidi"/>
                <w:b/>
                <w:bCs/>
                <w:sz w:val="19"/>
                <w:lang w:eastAsia="zh-CN"/>
              </w:rPr>
            </w:pPr>
            <w:r>
              <w:rPr>
                <w:rFonts w:hint="default" w:cstheme="majorBidi"/>
                <w:b/>
                <w:bCs/>
                <w:sz w:val="19"/>
                <w:lang w:val="en-US" w:eastAsia="zh-CN"/>
              </w:rPr>
              <w:t>确保统计类查询结果一致，防止模型随意发明口径</w:t>
            </w:r>
          </w:p>
        </w:tc>
        <w:tc>
          <w:tcPr>
            <w:tcW w:w="2982" w:type="dxa"/>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0" w:type="dxa"/>
            </w:tcMar>
            <w:vAlign w:val="center"/>
          </w:tcPr>
          <w:p w14:paraId="4848457D">
            <w:pPr>
              <w:spacing w:before="0"/>
              <w:rPr>
                <w:rFonts w:hint="default" w:cstheme="majorBidi"/>
                <w:b/>
                <w:bCs/>
                <w:sz w:val="19"/>
                <w:lang w:eastAsia="zh-CN"/>
              </w:rPr>
            </w:pPr>
            <w:r>
              <w:rPr>
                <w:rFonts w:hint="default" w:cstheme="majorBidi"/>
                <w:b/>
                <w:bCs/>
                <w:sz w:val="19"/>
                <w:lang w:val="en-US" w:eastAsia="zh-CN"/>
              </w:rPr>
              <w:t>需维护指标定义与数仓逻辑的版本关联</w:t>
            </w:r>
          </w:p>
        </w:tc>
      </w:tr>
    </w:tbl>
    <w:p w14:paraId="5C00BF81">
      <w:pPr>
        <w:jc w:val="center"/>
        <w:rPr>
          <w:rFonts w:hint="eastAsia"/>
        </w:rPr>
      </w:pPr>
      <w:r>
        <w:rPr>
          <w:rFonts w:hint="eastAsia"/>
          <w:lang w:eastAsia="zh-CN"/>
        </w:rPr>
        <w:t>表5-1</w:t>
      </w:r>
    </w:p>
    <w:p w14:paraId="46498514">
      <w:pPr>
        <w:pStyle w:val="4"/>
      </w:pPr>
      <w:bookmarkStart w:id="2" w:name="_Toc570"/>
      <w:r>
        <w:rPr>
          <w:rFonts w:ascii="微软雅黑" w:hAnsi="微软雅黑" w:eastAsia="微软雅黑"/>
        </w:rPr>
        <w:t>5.</w:t>
      </w:r>
      <w:r>
        <w:rPr>
          <w:rFonts w:hint="eastAsia" w:ascii="微软雅黑" w:hAnsi="微软雅黑" w:eastAsia="微软雅黑"/>
          <w:lang w:eastAsia="zh-CN"/>
        </w:rPr>
        <w:t>2</w:t>
      </w:r>
      <w:r>
        <w:rPr>
          <w:rFonts w:hint="eastAsia" w:ascii="微软雅黑" w:hAnsi="微软雅黑" w:eastAsia="微软雅黑"/>
        </w:rPr>
        <w:t xml:space="preserve"> 核心业务流程</w:t>
      </w:r>
      <w:bookmarkEnd w:id="2"/>
    </w:p>
    <w:p w14:paraId="2992BC8F">
      <w:pPr>
        <w:pStyle w:val="5"/>
      </w:pPr>
      <w:r>
        <w:rPr>
          <w:rFonts w:ascii="微软雅黑" w:hAnsi="微软雅黑" w:eastAsia="微软雅黑"/>
        </w:rPr>
        <w:t>5.</w:t>
      </w:r>
      <w:r>
        <w:rPr>
          <w:rFonts w:hint="eastAsia" w:ascii="微软雅黑" w:hAnsi="微软雅黑" w:eastAsia="微软雅黑"/>
          <w:lang w:eastAsia="zh-CN"/>
        </w:rPr>
        <w:t>2</w:t>
      </w:r>
      <w:r>
        <w:rPr>
          <w:rFonts w:hint="eastAsia" w:ascii="微软雅黑" w:hAnsi="微软雅黑" w:eastAsia="微软雅黑"/>
        </w:rPr>
        <w:t>.1 对话查询主流程</w:t>
      </w:r>
    </w:p>
    <w:p w14:paraId="4B96A4F6">
      <w:pPr>
        <w:ind w:firstLine="440" w:firstLineChars="200"/>
        <w:jc w:val="left"/>
        <w:rPr>
          <w:rFonts w:hint="eastAsia"/>
          <w:lang w:eastAsia="zh-CN"/>
        </w:rPr>
      </w:pPr>
      <w:r>
        <w:rPr>
          <w:rFonts w:hint="eastAsia"/>
          <w:lang w:eastAsia="zh-CN"/>
        </w:rPr>
        <w:t>主流程共16步：用户认证 → 用户查询 → 初始化上下文 → 意图识别 → Schema检索 → 信息完备性检测 → 若信息不完整则反问澄清 → 构建Prompt → 调用大模型生成SQL → SQL AST解析 → SQL安全校验 → 成本评估 → 高成本/敏感查询二次确认 → 提交Spark/Hive执行 → 结果脱敏封装 → 结果呈现。</w:t>
      </w:r>
    </w:p>
    <w:p w14:paraId="277CFF24">
      <w:pPr>
        <w:ind w:firstLine="440" w:firstLineChars="200"/>
        <w:jc w:val="center"/>
        <w:rPr>
          <w:rFonts w:hint="eastAsia"/>
          <w:lang w:eastAsia="zh-CN"/>
        </w:rPr>
      </w:pPr>
      <w:r>
        <w:rPr>
          <w:rFonts w:hint="eastAsia"/>
          <w:lang w:eastAsia="zh-CN"/>
        </w:rPr>
        <w:drawing>
          <wp:inline distT="0" distB="0" distL="114300" distR="114300">
            <wp:extent cx="3535045" cy="5104765"/>
            <wp:effectExtent l="0" t="0" r="8255" b="635"/>
            <wp:docPr id="2" name="图片 2" descr="c5978ba7bcab4ba5d2e7f05b196422a5_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5978ba7bcab4ba5d2e7f05b196422a5_origin"/>
                    <pic:cNvPicPr>
                      <a:picLocks noChangeAspect="1"/>
                    </pic:cNvPicPr>
                  </pic:nvPicPr>
                  <pic:blipFill>
                    <a:blip r:embed="rId8"/>
                    <a:stretch>
                      <a:fillRect/>
                    </a:stretch>
                  </pic:blipFill>
                  <pic:spPr>
                    <a:xfrm>
                      <a:off x="0" y="0"/>
                      <a:ext cx="3535045" cy="5104765"/>
                    </a:xfrm>
                    <a:prstGeom prst="rect">
                      <a:avLst/>
                    </a:prstGeom>
                  </pic:spPr>
                </pic:pic>
              </a:graphicData>
            </a:graphic>
          </wp:inline>
        </w:drawing>
      </w:r>
    </w:p>
    <w:p w14:paraId="6D0FA512">
      <w:pPr>
        <w:ind w:firstLine="440" w:firstLineChars="200"/>
        <w:jc w:val="center"/>
        <w:rPr>
          <w:rFonts w:hint="eastAsia"/>
          <w:lang w:eastAsia="zh-CN"/>
        </w:rPr>
      </w:pPr>
      <w:r>
        <w:rPr>
          <w:rFonts w:hint="eastAsia"/>
          <w:lang w:eastAsia="zh-CN"/>
        </w:rPr>
        <w:t>图5-2 对话查询主流程图</w:t>
      </w:r>
    </w:p>
    <w:p w14:paraId="32A8AC16">
      <w:pPr>
        <w:bidi w:val="0"/>
        <w:rPr>
          <w:rFonts w:hint="eastAsia"/>
          <w:lang w:val="en-US" w:eastAsia="zh-CN"/>
        </w:rPr>
      </w:pPr>
      <w:r>
        <w:rPr>
          <w:rFonts w:hint="eastAsia"/>
          <w:lang w:val="en-US" w:eastAsia="zh-CN"/>
        </w:rPr>
        <w:t>上述流程图详细展示了NL2SQL（自然语言转SQL）的完整业务处理链路。流程始于用户进入平台并完成统一认证，随后用户输入自然语言查询问题。系统接收问题后进行意图解析与要素提取，在此过程中设有信息完备性校验环节：若发现歧义或缺失，系统会主动发起反问以澄清问题，待用户补充信息后重新进入解析阶段；若信息无误，则进入核心处理阶段。接下来，系统生成对应的SQL语句并执行严格的安全检查。通过安全检查后，系统进一步校验用户的查询权限，若无权限则直接向用户反馈拦截信息。对于拥有合法权限的请求，系统将在Spark或Hive等大数据引擎上执行SQL查询。最终，系统将查询结果进行脱敏处理，并结合业务口径说明返回给用户，完成整个交互闭环。</w:t>
      </w:r>
    </w:p>
    <w:p w14:paraId="668F2A39">
      <w:pPr>
        <w:pStyle w:val="4"/>
        <w:bidi w:val="0"/>
        <w:rPr>
          <w:rFonts w:hint="eastAsia"/>
        </w:rPr>
      </w:pPr>
      <w:r>
        <w:rPr>
          <w:rFonts w:hint="eastAsia"/>
        </w:rPr>
        <w:t>5.3 交互与时序设计</w:t>
      </w:r>
    </w:p>
    <w:p w14:paraId="755603DF">
      <w:pPr>
        <w:ind w:firstLine="440" w:firstLineChars="200"/>
        <w:rPr>
          <w:rFonts w:hint="eastAsia"/>
        </w:rPr>
      </w:pPr>
      <w:r>
        <w:rPr>
          <w:rFonts w:hint="eastAsia"/>
        </w:rPr>
        <w:t>本节从动态视角描述系统的运行时行为，明确各层之间如何通过标准化的数据对象和接口协议完成一次完整的NL2SQL查询闭环。交互设计以"前端发起自然语言查询 → 接入层完成身份与数据权限控制 → 核心业务层完成多阶段智能编排 → 大数据层执行只读SQL → 结果脱敏与展示"为主链路，通过清晰的时序关系和协议约定确保系统可观测、可追溯、可降级。</w:t>
      </w:r>
    </w:p>
    <w:p w14:paraId="4106FD20">
      <w:pPr>
        <w:pStyle w:val="5"/>
        <w:bidi w:val="0"/>
        <w:rPr>
          <w:rFonts w:hint="eastAsia"/>
        </w:rPr>
      </w:pPr>
      <w:r>
        <w:rPr>
          <w:rFonts w:hint="eastAsia"/>
        </w:rPr>
        <w:t>5.3.1 核心场景时序图</w:t>
      </w:r>
    </w:p>
    <w:p w14:paraId="48551D9E">
      <w:pPr>
        <w:rPr>
          <w:rFonts w:hint="eastAsia"/>
        </w:rPr>
      </w:pPr>
      <w:r>
        <w:rPr>
          <w:rFonts w:hint="eastAsia"/>
        </w:rPr>
        <w:t>系统存在三类核心交互场景：标准查询场景（信息完整，直接生成SQL并执行）、反问澄清场景（信息不完整，需与用户多轮交互）、二次确认场景（高成本或敏感查询，需用户确认后执行）。以下分别描述其时序关系。</w:t>
      </w:r>
    </w:p>
    <w:p w14:paraId="0F83E1EB">
      <w:pPr>
        <w:rPr>
          <w:rFonts w:hint="eastAsia"/>
        </w:rPr>
      </w:pPr>
      <w:r>
        <w:rPr>
          <w:rFonts w:hint="eastAsia"/>
        </w:rPr>
        <w:t>（1）标准查询场景（信息完整）</w:t>
      </w:r>
    </w:p>
    <w:p w14:paraId="64FC0B9F">
      <w:pPr>
        <w:rPr>
          <w:rFonts w:hint="eastAsia"/>
        </w:rPr>
      </w:pPr>
      <w:r>
        <w:rPr>
          <w:rFonts w:hint="eastAsia"/>
        </w:rPr>
        <w:t>该场景下用户输入的自然语言问题包含完整的查询要素，系统无需反问即可直接完成SQL生成与执行。</w:t>
      </w:r>
    </w:p>
    <w:p w14:paraId="6F41E86E">
      <w:pPr>
        <w:rPr>
          <w:rFonts w:hint="eastAsia"/>
        </w:rPr>
      </w:pPr>
      <w:r>
        <w:rPr>
          <w:rFonts w:hint="default"/>
        </w:rPr>
        <w:t>（2）反问澄清场景（信息不完整）</w:t>
      </w:r>
    </w:p>
    <w:p w14:paraId="616B34E4">
      <w:pPr>
        <w:rPr>
          <w:rFonts w:hint="eastAsia"/>
        </w:rPr>
      </w:pPr>
      <w:r>
        <w:rPr>
          <w:rFonts w:hint="default"/>
        </w:rPr>
        <w:t>当系统检测到用户输入缺少必要条件（如时间范围、统计粒度、客户范围等）或存在业务口径歧义时，进入反问澄清流程。该场景引入循环控制，单次查询最多反问2轮。</w:t>
      </w:r>
    </w:p>
    <w:p w14:paraId="1A601A72">
      <w:pPr>
        <w:pStyle w:val="5"/>
        <w:bidi w:val="0"/>
        <w:rPr>
          <w:rFonts w:hint="eastAsia"/>
        </w:rPr>
      </w:pPr>
      <w:r>
        <w:rPr>
          <w:rFonts w:hint="default"/>
        </w:rPr>
        <w:t>5.3.2 服务间交互协议</w:t>
      </w:r>
    </w:p>
    <w:p w14:paraId="56131FF7">
      <w:pPr>
        <w:rPr>
          <w:rFonts w:hint="eastAsia"/>
        </w:rPr>
      </w:pPr>
      <w:r>
        <w:rPr>
          <w:rFonts w:hint="eastAsia"/>
        </w:rPr>
        <w:t>（1）前端 ↔ 接入层</w:t>
      </w:r>
    </w:p>
    <w:p w14:paraId="1AD9FF91">
      <w:pPr>
        <w:rPr>
          <w:rFonts w:hint="eastAsia"/>
        </w:rPr>
      </w:pPr>
      <w:r>
        <w:rPr>
          <w:rFonts w:hint="eastAsia"/>
        </w:rPr>
        <w:t>采用HTTPS同步请求，支持两种状态获取模式：</w:t>
      </w:r>
    </w:p>
    <w:p w14:paraId="578CF972">
      <w:pPr>
        <w:rPr>
          <w:rFonts w:hint="eastAsia"/>
        </w:rPr>
      </w:pPr>
      <w:r>
        <w:rPr>
          <w:rFonts w:hint="eastAsia"/>
        </w:rPr>
        <w:t>同步轮询：前端提交查询后获得taskId，通过状态查询接口定期轮询任务进展，适用于标准查询场景</w:t>
      </w:r>
    </w:p>
    <w:p w14:paraId="5F41CD6C">
      <w:pPr>
        <w:ind w:left="0" w:leftChars="0" w:firstLine="440" w:firstLineChars="200"/>
        <w:rPr>
          <w:rFonts w:hint="eastAsia"/>
        </w:rPr>
      </w:pPr>
      <w:r>
        <w:rPr>
          <w:rFonts w:hint="eastAsia"/>
        </w:rPr>
        <w:t>事件推送（SSE）：在支持条件下建立长连接，由服务端主动推送阶段状态变化，减少无效轮询</w:t>
      </w:r>
    </w:p>
    <w:p w14:paraId="00BF5DF2">
      <w:pPr>
        <w:ind w:firstLine="440" w:firstLineChars="200"/>
        <w:rPr>
          <w:rFonts w:hint="eastAsia"/>
        </w:rPr>
      </w:pPr>
      <w:r>
        <w:rPr>
          <w:rFonts w:hint="eastAsia"/>
        </w:rPr>
        <w:t>接入层负责将前端请求转换为内部标准化对象，所有前端传入的用户身份标识仅作展示用途，实际身份以Token解析结果为准。</w:t>
      </w:r>
    </w:p>
    <w:p w14:paraId="59891268">
      <w:pPr>
        <w:rPr>
          <w:rFonts w:hint="eastAsia"/>
        </w:rPr>
      </w:pPr>
      <w:r>
        <w:rPr>
          <w:rFonts w:hint="eastAsia"/>
        </w:rPr>
        <w:t>（2）接入层 ↔ 核心业务层</w:t>
      </w:r>
    </w:p>
    <w:p w14:paraId="58651A35">
      <w:pPr>
        <w:ind w:firstLine="440" w:firstLineChars="200"/>
        <w:rPr>
          <w:rFonts w:hint="eastAsia"/>
        </w:rPr>
      </w:pPr>
      <w:r>
        <w:rPr>
          <w:rFonts w:hint="eastAsia"/>
        </w:rPr>
        <w:t>接入层完成身份认证、数据权限校验和限流后，向核心层提交内部QueryRequest。该请求不携带原始JWT，仅包含已验证的Principal和DataScope，确保核心层不感知认证细节。</w:t>
      </w:r>
    </w:p>
    <w:p w14:paraId="720A17B1">
      <w:pPr>
        <w:ind w:firstLine="440" w:firstLineChars="200"/>
        <w:rPr>
          <w:rFonts w:hint="eastAsia"/>
        </w:rPr>
      </w:pPr>
      <w:r>
        <w:rPr>
          <w:rFonts w:hint="eastAsia"/>
        </w:rPr>
        <w:t>核心层返回统一的QueryResponse，携带状态标识、进度信息和结果载荷。状态变化由核心层驱动，接入层仅负责转发和HTTP层面的映射，不主动修改或判断业务状态。</w:t>
      </w:r>
    </w:p>
    <w:p w14:paraId="4E8ADE9B">
      <w:pPr>
        <w:rPr>
          <w:rFonts w:hint="eastAsia"/>
        </w:rPr>
      </w:pPr>
      <w:r>
        <w:rPr>
          <w:rFonts w:hint="eastAsia"/>
        </w:rPr>
        <w:t>（3）核心业务层 ↔ 大数据层</w:t>
      </w:r>
    </w:p>
    <w:p w14:paraId="2AE99CDC">
      <w:pPr>
        <w:rPr>
          <w:rFonts w:hint="eastAsia"/>
        </w:rPr>
      </w:pPr>
      <w:r>
        <w:rPr>
          <w:rFonts w:hint="eastAsia"/>
        </w:rPr>
        <w:t>核心层通过执行网关向Spark/Hive提交SQL任务，采用异步任务模式：</w:t>
      </w:r>
    </w:p>
    <w:p w14:paraId="2276262F">
      <w:pPr>
        <w:numPr>
          <w:ilvl w:val="0"/>
          <w:numId w:val="9"/>
        </w:numPr>
        <w:ind w:left="420" w:leftChars="0" w:hanging="420" w:firstLineChars="0"/>
        <w:rPr>
          <w:rFonts w:hint="eastAsia"/>
        </w:rPr>
      </w:pPr>
      <w:r>
        <w:rPr>
          <w:rFonts w:hint="eastAsia"/>
        </w:rPr>
        <w:t>任务提交：传递经过安全校验的只读SQL、执行策略（超时、资源配额）、租户范围</w:t>
      </w:r>
    </w:p>
    <w:p w14:paraId="3EAD85CC">
      <w:pPr>
        <w:numPr>
          <w:ilvl w:val="0"/>
          <w:numId w:val="9"/>
        </w:numPr>
        <w:ind w:left="420" w:leftChars="0" w:hanging="420" w:firstLineChars="0"/>
        <w:rPr>
          <w:rFonts w:hint="eastAsia"/>
        </w:rPr>
      </w:pPr>
      <w:r>
        <w:rPr>
          <w:rFonts w:hint="eastAsia"/>
        </w:rPr>
        <w:t>状态查询：轮询获取任务状态（提交/运行中/成功/失败/取消/超时）</w:t>
      </w:r>
    </w:p>
    <w:p w14:paraId="5E3041E6">
      <w:pPr>
        <w:numPr>
          <w:ilvl w:val="0"/>
          <w:numId w:val="9"/>
        </w:numPr>
        <w:ind w:left="420" w:leftChars="0" w:hanging="420" w:firstLineChars="0"/>
        <w:rPr>
          <w:rFonts w:hint="eastAsia"/>
        </w:rPr>
      </w:pPr>
      <w:r>
        <w:rPr>
          <w:rFonts w:hint="eastAsia"/>
        </w:rPr>
        <w:t>任务取消：发送取消信号，等待引擎确认</w:t>
      </w:r>
    </w:p>
    <w:p w14:paraId="4C0A4746">
      <w:pPr>
        <w:rPr>
          <w:rFonts w:hint="eastAsia"/>
        </w:rPr>
      </w:pPr>
      <w:r>
        <w:rPr>
          <w:rFonts w:hint="eastAsia"/>
        </w:rPr>
        <w:t>大数据层不感知用户身份，仅以只读账号执行SQL，数据权限已在核心层通过SQL改写（如DataScope条件注入）完成。</w:t>
      </w:r>
    </w:p>
    <w:p w14:paraId="4428D7E5">
      <w:pPr>
        <w:rPr>
          <w:rFonts w:hint="eastAsia"/>
        </w:rPr>
      </w:pPr>
      <w:r>
        <w:rPr>
          <w:rFonts w:hint="eastAsia"/>
        </w:rPr>
        <w:t>（4）协议设计原则</w:t>
      </w:r>
    </w:p>
    <w:tbl>
      <w:tblPr>
        <w:tblW w:w="10080" w:type="dxa"/>
        <w:tblInd w:w="0"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shd w:val="clear"/>
        <w:tblLayout w:type="autofit"/>
        <w:tblCellMar>
          <w:top w:w="15" w:type="dxa"/>
          <w:left w:w="15" w:type="dxa"/>
          <w:bottom w:w="15" w:type="dxa"/>
          <w:right w:w="15" w:type="dxa"/>
        </w:tblCellMar>
      </w:tblPr>
      <w:tblGrid>
        <w:gridCol w:w="2262"/>
        <w:gridCol w:w="7818"/>
      </w:tblGrid>
      <w:tr w14:paraId="7359EFA1">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15" w:type="dxa"/>
            <w:left w:w="15" w:type="dxa"/>
            <w:bottom w:w="15" w:type="dxa"/>
            <w:right w:w="15" w:type="dxa"/>
          </w:tblCellMar>
        </w:tblPrEx>
        <w:trPr>
          <w:tblHeader/>
        </w:trPr>
        <w:tc>
          <w:tcPr>
            <w:tcW w:w="0" w:type="auto"/>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518D1C47">
            <w:pPr>
              <w:rPr>
                <w:rFonts w:hint="eastAsia"/>
              </w:rPr>
            </w:pPr>
            <w:r>
              <w:rPr>
                <w:rFonts w:hint="eastAsia"/>
                <w:lang w:val="en-US" w:eastAsia="zh-CN"/>
              </w:rPr>
              <w:t>原则</w:t>
            </w:r>
          </w:p>
        </w:tc>
        <w:tc>
          <w:tcPr>
            <w:tcW w:w="0" w:type="auto"/>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240" w:type="dxa"/>
            </w:tcMar>
            <w:vAlign w:val="center"/>
          </w:tcPr>
          <w:p w14:paraId="75A626B9">
            <w:pPr>
              <w:rPr>
                <w:rFonts w:hint="eastAsia"/>
              </w:rPr>
            </w:pPr>
            <w:r>
              <w:rPr>
                <w:rFonts w:hint="eastAsia"/>
                <w:lang w:val="en-US" w:eastAsia="zh-CN"/>
              </w:rPr>
              <w:t>说明</w:t>
            </w:r>
          </w:p>
        </w:tc>
      </w:tr>
      <w:tr w14:paraId="1089042F">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15" w:type="dxa"/>
            <w:left w:w="15" w:type="dxa"/>
            <w:bottom w:w="15" w:type="dxa"/>
            <w:right w:w="15" w:type="dxa"/>
          </w:tblCellMar>
        </w:tblPrEx>
        <w:tc>
          <w:tcPr>
            <w:tcW w:w="0" w:type="auto"/>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3572C005">
            <w:pPr>
              <w:rPr>
                <w:rFonts w:hint="eastAsia"/>
              </w:rPr>
            </w:pPr>
            <w:r>
              <w:rPr>
                <w:rFonts w:hint="eastAsia"/>
                <w:lang w:val="en-US" w:eastAsia="zh-CN"/>
              </w:rPr>
              <w:t>认证解耦</w:t>
            </w:r>
          </w:p>
        </w:tc>
        <w:tc>
          <w:tcPr>
            <w:tcW w:w="0" w:type="auto"/>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0" w:type="dxa"/>
            </w:tcMar>
            <w:vAlign w:val="center"/>
          </w:tcPr>
          <w:p w14:paraId="14FA7FFD">
            <w:pPr>
              <w:rPr>
                <w:rFonts w:hint="eastAsia"/>
              </w:rPr>
            </w:pPr>
            <w:r>
              <w:rPr>
                <w:rFonts w:hint="eastAsia"/>
                <w:lang w:val="en-US" w:eastAsia="zh-CN"/>
              </w:rPr>
              <w:t>核心层不处理Token，仅接收已校验的Principal</w:t>
            </w:r>
          </w:p>
        </w:tc>
      </w:tr>
      <w:tr w14:paraId="53516134">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15" w:type="dxa"/>
            <w:left w:w="15" w:type="dxa"/>
            <w:bottom w:w="15" w:type="dxa"/>
            <w:right w:w="15" w:type="dxa"/>
          </w:tblCellMar>
        </w:tblPrEx>
        <w:tc>
          <w:tcPr>
            <w:tcW w:w="0" w:type="auto"/>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3430DE9C">
            <w:pPr>
              <w:rPr>
                <w:rFonts w:hint="eastAsia"/>
              </w:rPr>
            </w:pPr>
            <w:r>
              <w:rPr>
                <w:rFonts w:hint="eastAsia"/>
                <w:lang w:val="en-US" w:eastAsia="zh-CN"/>
              </w:rPr>
              <w:t>状态单向</w:t>
            </w:r>
          </w:p>
        </w:tc>
        <w:tc>
          <w:tcPr>
            <w:tcW w:w="0" w:type="auto"/>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0" w:type="dxa"/>
            </w:tcMar>
            <w:vAlign w:val="center"/>
          </w:tcPr>
          <w:p w14:paraId="65705AA6">
            <w:pPr>
              <w:rPr>
                <w:rFonts w:hint="eastAsia"/>
              </w:rPr>
            </w:pPr>
            <w:r>
              <w:rPr>
                <w:rFonts w:hint="eastAsia"/>
                <w:lang w:val="en-US" w:eastAsia="zh-CN"/>
              </w:rPr>
              <w:t>状态由核心层生产，接入层消费，不反向修改</w:t>
            </w:r>
          </w:p>
        </w:tc>
      </w:tr>
      <w:tr w14:paraId="740FD88B">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15" w:type="dxa"/>
            <w:left w:w="15" w:type="dxa"/>
            <w:bottom w:w="15" w:type="dxa"/>
            <w:right w:w="15" w:type="dxa"/>
          </w:tblCellMar>
        </w:tblPrEx>
        <w:tc>
          <w:tcPr>
            <w:tcW w:w="0" w:type="auto"/>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0F6D0073">
            <w:pPr>
              <w:rPr>
                <w:rFonts w:hint="eastAsia"/>
              </w:rPr>
            </w:pPr>
            <w:r>
              <w:rPr>
                <w:rFonts w:hint="eastAsia"/>
                <w:lang w:val="en-US" w:eastAsia="zh-CN"/>
              </w:rPr>
              <w:t>幂等提交</w:t>
            </w:r>
          </w:p>
        </w:tc>
        <w:tc>
          <w:tcPr>
            <w:tcW w:w="0" w:type="auto"/>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0" w:type="dxa"/>
            </w:tcMar>
            <w:vAlign w:val="center"/>
          </w:tcPr>
          <w:p w14:paraId="4E37459B">
            <w:pPr>
              <w:rPr>
                <w:rFonts w:hint="eastAsia"/>
              </w:rPr>
            </w:pPr>
            <w:r>
              <w:rPr>
                <w:rFonts w:hint="eastAsia"/>
                <w:lang w:val="en-US" w:eastAsia="zh-CN"/>
              </w:rPr>
              <w:t>以requestId去重，重复提交返回原任务状态</w:t>
            </w:r>
          </w:p>
        </w:tc>
      </w:tr>
      <w:tr w14:paraId="0A183082">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CellMar>
            <w:top w:w="15" w:type="dxa"/>
            <w:left w:w="15" w:type="dxa"/>
            <w:bottom w:w="15" w:type="dxa"/>
            <w:right w:w="15" w:type="dxa"/>
          </w:tblCellMar>
        </w:tblPrEx>
        <w:tc>
          <w:tcPr>
            <w:tcW w:w="0" w:type="auto"/>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6A0FC720">
            <w:pPr>
              <w:rPr>
                <w:rFonts w:hint="eastAsia"/>
              </w:rPr>
            </w:pPr>
            <w:r>
              <w:rPr>
                <w:rFonts w:hint="eastAsia"/>
                <w:lang w:val="en-US" w:eastAsia="zh-CN"/>
              </w:rPr>
              <w:t>超时传递</w:t>
            </w:r>
          </w:p>
        </w:tc>
        <w:tc>
          <w:tcPr>
            <w:tcW w:w="0" w:type="auto"/>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0" w:type="dxa"/>
            </w:tcMar>
            <w:vAlign w:val="center"/>
          </w:tcPr>
          <w:p w14:paraId="4C6D468B">
            <w:pPr>
              <w:rPr>
                <w:rFonts w:hint="eastAsia"/>
              </w:rPr>
            </w:pPr>
            <w:r>
              <w:rPr>
                <w:rFonts w:hint="eastAsia"/>
                <w:lang w:val="en-US" w:eastAsia="zh-CN"/>
              </w:rPr>
              <w:t>每层超时阈值逐层递减，确保上层先于下层超时</w:t>
            </w:r>
          </w:p>
        </w:tc>
      </w:tr>
      <w:tr w14:paraId="5241DA85">
        <w:tblPrEx>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shd w:val="clear"/>
          <w:tblCellMar>
            <w:top w:w="15" w:type="dxa"/>
            <w:left w:w="15" w:type="dxa"/>
            <w:bottom w:w="15" w:type="dxa"/>
            <w:right w:w="15" w:type="dxa"/>
          </w:tblCellMar>
        </w:tblPrEx>
        <w:tc>
          <w:tcPr>
            <w:tcW w:w="0" w:type="auto"/>
            <w:tcBorders>
              <w:top w:val="single" w:color="4F81BD" w:sz="8" w:space="0"/>
              <w:left w:val="single" w:color="4F81BD" w:sz="8" w:space="0"/>
              <w:bottom w:val="single" w:color="4F81BD" w:sz="8" w:space="0"/>
              <w:right w:val="single" w:color="4F81BD" w:sz="8" w:space="0"/>
            </w:tcBorders>
            <w:shd w:val="clear"/>
            <w:tcMar>
              <w:top w:w="150" w:type="dxa"/>
              <w:left w:w="0" w:type="dxa"/>
              <w:bottom w:w="150" w:type="dxa"/>
              <w:right w:w="240" w:type="dxa"/>
            </w:tcMar>
            <w:vAlign w:val="center"/>
          </w:tcPr>
          <w:p w14:paraId="604897AA">
            <w:pPr>
              <w:rPr>
                <w:rFonts w:hint="eastAsia"/>
              </w:rPr>
            </w:pPr>
            <w:r>
              <w:rPr>
                <w:rFonts w:hint="eastAsia"/>
                <w:lang w:val="en-US" w:eastAsia="zh-CN"/>
              </w:rPr>
              <w:t>审计关联</w:t>
            </w:r>
          </w:p>
        </w:tc>
        <w:tc>
          <w:tcPr>
            <w:tcW w:w="0" w:type="auto"/>
            <w:tcBorders>
              <w:top w:val="single" w:color="4F81BD" w:sz="8" w:space="0"/>
              <w:left w:val="single" w:color="4F81BD" w:sz="8" w:space="0"/>
              <w:bottom w:val="single" w:color="4F81BD" w:sz="8" w:space="0"/>
              <w:right w:val="single" w:color="4F81BD" w:sz="8" w:space="0"/>
            </w:tcBorders>
            <w:shd w:val="clear"/>
            <w:tcMar>
              <w:top w:w="150" w:type="dxa"/>
              <w:left w:w="240" w:type="dxa"/>
              <w:bottom w:w="150" w:type="dxa"/>
              <w:right w:w="0" w:type="dxa"/>
            </w:tcMar>
            <w:vAlign w:val="center"/>
          </w:tcPr>
          <w:p w14:paraId="0F57544B">
            <w:pPr>
              <w:rPr>
                <w:rFonts w:hint="eastAsia"/>
              </w:rPr>
            </w:pPr>
            <w:r>
              <w:rPr>
                <w:rFonts w:hint="eastAsia"/>
                <w:lang w:val="en-US" w:eastAsia="zh-CN"/>
              </w:rPr>
              <w:t>requestId、taskId、traceId三者关联但不混用</w:t>
            </w:r>
          </w:p>
        </w:tc>
      </w:tr>
    </w:tbl>
    <w:p w14:paraId="3E18723F">
      <w:pPr>
        <w:rPr>
          <w:rFonts w:hint="eastAsia"/>
        </w:rPr>
      </w:pPr>
    </w:p>
    <w:p w14:paraId="24054CD5">
      <w:pPr>
        <w:rPr>
          <w:rFonts w:hint="eastAsia"/>
        </w:rPr>
      </w:pPr>
      <w:r>
        <w:rPr>
          <w:rFonts w:hint="eastAsia"/>
        </w:rPr>
        <w:t>5.3.3 状态机设计</w:t>
      </w:r>
    </w:p>
    <w:p w14:paraId="7801FB40">
      <w:pPr>
        <w:rPr>
          <w:rFonts w:hint="eastAsia"/>
        </w:rPr>
      </w:pPr>
      <w:r>
        <w:rPr>
          <w:rFonts w:hint="eastAsia"/>
        </w:rPr>
        <w:t>状态机是核心业务层的编排引擎，其设计定位于驱动一次查询从接收到终结的合法流转，确保每个阶段可观测、可恢复、可审计。</w:t>
      </w:r>
    </w:p>
    <w:p w14:paraId="0DC7042E">
      <w:pPr>
        <w:rPr>
          <w:rFonts w:hint="eastAsia"/>
        </w:rPr>
      </w:pPr>
      <w:r>
        <w:rPr>
          <w:rFonts w:hint="eastAsia"/>
        </w:rPr>
        <w:t>（1）状态机定位</w:t>
      </w:r>
    </w:p>
    <w:p w14:paraId="0D02AB15">
      <w:pPr>
        <w:rPr>
          <w:rFonts w:hint="eastAsia"/>
        </w:rPr>
      </w:pPr>
      <w:r>
        <w:rPr>
          <w:rFonts w:hint="eastAsia"/>
        </w:rPr>
        <w:t>控制中枢：状态迁移由QueryOrchestrator统一管理，各Service仅负责阶段内处理，不直接修改状态</w:t>
      </w:r>
    </w:p>
    <w:p w14:paraId="1F5B42EC">
      <w:pPr>
        <w:rPr>
          <w:rFonts w:hint="eastAsia"/>
        </w:rPr>
      </w:pPr>
      <w:r>
        <w:rPr>
          <w:rFonts w:hint="eastAsia"/>
        </w:rPr>
        <w:t>可观测底座：每个状态变更记录时间、触发者和阶段结果摘要，支持全链路追溯</w:t>
      </w:r>
    </w:p>
    <w:p w14:paraId="3C31F50B">
      <w:pPr>
        <w:rPr>
          <w:rFonts w:hint="eastAsia"/>
        </w:rPr>
      </w:pPr>
      <w:r>
        <w:rPr>
          <w:rFonts w:hint="eastAsia"/>
        </w:rPr>
        <w:t>容错基础：状态持久化存储，应用重启后可恢复进行中的任务，避免任务丢失</w:t>
      </w:r>
    </w:p>
    <w:p w14:paraId="3068CBA2">
      <w:pPr>
        <w:rPr>
          <w:rFonts w:hint="eastAsia"/>
        </w:rPr>
      </w:pPr>
      <w:r>
        <w:rPr>
          <w:rFonts w:hint="eastAsia"/>
        </w:rPr>
        <w:t>（2）核心状态</w:t>
      </w:r>
    </w:p>
    <w:p w14:paraId="2078AD78">
      <w:pPr>
        <w:rPr>
          <w:rFonts w:hint="eastAsia"/>
        </w:rPr>
      </w:pPr>
      <w:r>
        <w:rPr>
          <w:rFonts w:hint="eastAsia"/>
        </w:rPr>
        <w:t>状态机覆盖从请求接收到结果返回的完整生命周期，核心状态包括：</w:t>
      </w:r>
    </w:p>
    <w:p w14:paraId="23D2A00F">
      <w:pPr>
        <w:rPr>
          <w:rFonts w:hint="eastAsia"/>
        </w:rPr>
      </w:pPr>
      <w:r>
        <w:rPr>
          <w:rFonts w:hint="eastAsia"/>
        </w:rPr>
        <w:t>接收态（RECEIVED）：请求已验证，上下文已初始化</w:t>
      </w:r>
    </w:p>
    <w:p w14:paraId="54A8B193">
      <w:pPr>
        <w:rPr>
          <w:rFonts w:hint="eastAsia"/>
        </w:rPr>
      </w:pPr>
      <w:r>
        <w:rPr>
          <w:rFonts w:hint="eastAsia"/>
        </w:rPr>
        <w:t>分析态（INTENT_ANALYZING / KNOWLEDGE_RETRIEVING / SLOT_CHECKING）：意图理解、知识检索、条件完备性检查</w:t>
      </w:r>
    </w:p>
    <w:p w14:paraId="59860056">
      <w:pPr>
        <w:rPr>
          <w:rFonts w:hint="eastAsia"/>
        </w:rPr>
      </w:pPr>
      <w:r>
        <w:rPr>
          <w:rFonts w:hint="eastAsia"/>
        </w:rPr>
        <w:t>交互态（ASKING）：信息不完整，等待用户补充</w:t>
      </w:r>
    </w:p>
    <w:p w14:paraId="1BE2B791">
      <w:pPr>
        <w:rPr>
          <w:rFonts w:hint="eastAsia"/>
        </w:rPr>
      </w:pPr>
      <w:r>
        <w:rPr>
          <w:rFonts w:hint="eastAsia"/>
        </w:rPr>
        <w:t>生成态（PROMPT_BUILDING / LLM_GENERATING / SQL_PARSING）：Prompt构建与大模型生成</w:t>
      </w:r>
    </w:p>
    <w:p w14:paraId="6F8A0ABB">
      <w:pPr>
        <w:rPr>
          <w:rFonts w:hint="eastAsia"/>
        </w:rPr>
      </w:pPr>
      <w:r>
        <w:rPr>
          <w:rFonts w:hint="eastAsia"/>
        </w:rPr>
        <w:t>校验态（SQL_VALIDATING / COST_EVALUATING）：安全校验与成本评估</w:t>
      </w:r>
    </w:p>
    <w:p w14:paraId="6403D261">
      <w:pPr>
        <w:rPr>
          <w:rFonts w:hint="eastAsia"/>
        </w:rPr>
      </w:pPr>
      <w:r>
        <w:rPr>
          <w:rFonts w:hint="eastAsia"/>
        </w:rPr>
        <w:t>确认态（CONFIRMING）：高风险查询等待用户二次确认</w:t>
      </w:r>
    </w:p>
    <w:p w14:paraId="03E82B04">
      <w:pPr>
        <w:rPr>
          <w:rFonts w:hint="eastAsia"/>
        </w:rPr>
      </w:pPr>
      <w:r>
        <w:rPr>
          <w:rFonts w:hint="eastAsia"/>
        </w:rPr>
        <w:t>执行态（EXECUTING / RESULT_PACKAGING）：SQL执行与结果封装</w:t>
      </w:r>
    </w:p>
    <w:p w14:paraId="4176D9E9">
      <w:pPr>
        <w:rPr>
          <w:rFonts w:hint="eastAsia"/>
        </w:rPr>
      </w:pPr>
      <w:r>
        <w:rPr>
          <w:rFonts w:hint="eastAsia"/>
        </w:rPr>
        <w:t>终态（SUCCESS / FAILED / CANCELLED）：查询终结</w:t>
      </w:r>
    </w:p>
    <w:p w14:paraId="28CC6E93">
      <w:pPr>
        <w:rPr>
          <w:rFonts w:hint="eastAsia"/>
        </w:rPr>
      </w:pPr>
      <w:r>
        <w:rPr>
          <w:rFonts w:hint="eastAsia"/>
        </w:rPr>
        <w:t>（3）状态迁移约束</w:t>
      </w:r>
    </w:p>
    <w:p w14:paraId="697BB175">
      <w:pPr>
        <w:rPr>
          <w:rFonts w:hint="eastAsia"/>
        </w:rPr>
      </w:pPr>
      <w:r>
        <w:rPr>
          <w:rFonts w:hint="eastAsia"/>
        </w:rPr>
        <w:t>状态机遵循以下核心约束：</w:t>
      </w:r>
    </w:p>
    <w:p w14:paraId="68673B31">
      <w:pPr>
        <w:rPr>
          <w:rFonts w:hint="eastAsia"/>
        </w:rPr>
      </w:pPr>
      <w:r>
        <w:rPr>
          <w:rFonts w:hint="eastAsia"/>
        </w:rPr>
        <w:t>单向流转：状态按阶段顺序向前推进，不允许回退（ASKING除外，其补充后回到INTENT_ANALYZING）</w:t>
      </w:r>
    </w:p>
    <w:p w14:paraId="1597866B">
      <w:pPr>
        <w:rPr>
          <w:rFonts w:hint="eastAsia"/>
        </w:rPr>
      </w:pPr>
      <w:r>
        <w:rPr>
          <w:rFonts w:hint="eastAsia"/>
        </w:rPr>
        <w:t>不可跳转：不得从任意状态直接跳转至终态，必须经过完整阶段链</w:t>
      </w:r>
    </w:p>
    <w:p w14:paraId="57CD87B8">
      <w:pPr>
        <w:rPr>
          <w:rFonts w:hint="eastAsia"/>
        </w:rPr>
      </w:pPr>
      <w:r>
        <w:rPr>
          <w:rFonts w:hint="eastAsia"/>
        </w:rPr>
        <w:t>反问问上限：ASKING状态最多进入2次，超过后转入FAILED</w:t>
      </w:r>
    </w:p>
    <w:p w14:paraId="3361F5A7">
      <w:pPr>
        <w:rPr>
          <w:rFonts w:hint="eastAsia"/>
        </w:rPr>
      </w:pPr>
      <w:r>
        <w:rPr>
          <w:rFonts w:hint="eastAsia"/>
        </w:rPr>
        <w:t>确认有时效：CONFIRMING状态持有超时阈值，超时未确认自动转入CANCELLED</w:t>
      </w:r>
    </w:p>
    <w:p w14:paraId="33A7A8C3">
      <w:pPr>
        <w:rPr>
          <w:rFonts w:hint="eastAsia"/>
        </w:rPr>
      </w:pPr>
      <w:r>
        <w:rPr>
          <w:rFonts w:hint="eastAsia"/>
        </w:rPr>
        <w:t>终态锁定：进入SUCCESS/FAILED/CANCELLED后拒绝任何状态变更</w:t>
      </w:r>
    </w:p>
    <w:p w14:paraId="2444E9EA">
      <w:pPr>
        <w:rPr>
          <w:rFonts w:hint="eastAsia"/>
        </w:rPr>
      </w:pPr>
      <w:r>
        <w:rPr>
          <w:rFonts w:hint="eastAsia"/>
        </w:rPr>
        <w:t>（4）并发与幂等控制</w:t>
      </w:r>
    </w:p>
    <w:p w14:paraId="5668CE48">
      <w:pPr>
        <w:rPr>
          <w:rFonts w:hint="eastAsia"/>
        </w:rPr>
      </w:pPr>
      <w:r>
        <w:rPr>
          <w:rFonts w:hint="eastAsia"/>
        </w:rPr>
        <w:t>每个状态迁移携带版本号，防止并发场景下旧状态覆盖新状态</w:t>
      </w:r>
    </w:p>
    <w:p w14:paraId="43AFA749">
      <w:pPr>
        <w:rPr>
          <w:rFonts w:hint="eastAsia"/>
        </w:rPr>
      </w:pPr>
      <w:r>
        <w:rPr>
          <w:rFonts w:hint="eastAsia"/>
        </w:rPr>
        <w:t>以requestId作为查询主键，重复提交返回已有任务状态，不重复触发阶段处理</w:t>
      </w:r>
    </w:p>
    <w:p w14:paraId="19EF12C8">
      <w:pPr>
        <w:rPr>
          <w:rFonts w:hint="eastAsia" w:eastAsia="微软雅黑"/>
          <w:lang w:eastAsia="zh-CN"/>
        </w:rPr>
      </w:pPr>
      <w:r>
        <w:rPr>
          <w:rFonts w:hint="eastAsia"/>
        </w:rPr>
        <w:t>已进入EXECUTING的任务，重复请求不再次提交Spark作业</w:t>
      </w:r>
      <w:bookmarkStart w:id="3" w:name="_GoBack"/>
      <w:bookmarkEnd w:id="3"/>
    </w:p>
    <w:sectPr>
      <w:footerReference r:id="rId5" w:type="default"/>
      <w:pgSz w:w="12240" w:h="15840"/>
      <w:pgMar w:top="1440" w:right="1800" w:bottom="1440" w:left="1800" w:header="720" w:footer="720" w:gutter="0"/>
      <w:pgBorders>
        <w:top w:val="none" w:sz="0" w:space="0"/>
        <w:left w:val="none" w:sz="0" w:space="0"/>
        <w:bottom w:val="none" w:sz="0" w:space="0"/>
        <w:right w:val="none" w:sz="0" w:space="0"/>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Liberation Mono">
    <w:altName w:val="Courier New"/>
    <w:panose1 w:val="02070409020205020404"/>
    <w:charset w:val="00"/>
    <w:family w:val="auto"/>
    <w:pitch w:val="default"/>
    <w:sig w:usb0="00000000" w:usb1="00000000" w:usb2="00000000" w:usb3="00000000" w:csb0="6000009F" w:csb1="DFD7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DB253">
    <w:pPr>
      <w:pStyle w:val="24"/>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DB6CB4">
                          <w:pPr>
                            <w:pStyle w:val="24"/>
                            <w:rPr>
                              <w:rFonts w:hint="eastAsia"/>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mzdsktAgAAVgQAAA4AAAAAAAAAAQAgAAAAHwEAAGRycy9lMm9Eb2MueG1sUEsFBgAAAAAG&#10;AAYAWQEAAL4FAAAAAA==&#10;">
              <v:fill on="f" focussize="0,0"/>
              <v:stroke on="f" weight="0.5pt"/>
              <v:imagedata o:title=""/>
              <o:lock v:ext="edit" aspectratio="f"/>
              <v:textbox inset="0mm,0mm,0mm,0mm" style="mso-fit-shape-to-text:t;">
                <w:txbxContent>
                  <w:p w14:paraId="57DB6CB4">
                    <w:pPr>
                      <w:pStyle w:val="24"/>
                      <w:rPr>
                        <w:rFonts w:hint="eastAsia"/>
                      </w:rPr>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40"/>
      </w:pPr>
      <w:r>
        <w:separator/>
      </w:r>
    </w:p>
  </w:footnote>
  <w:footnote w:type="continuationSeparator" w:id="1">
    <w:p>
      <w:pPr>
        <w:spacing w:before="0" w:after="0" w:line="360" w:lineRule="auto"/>
        <w:ind w:firstLine="4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7ABF87"/>
    <w:multiLevelType w:val="singleLevel"/>
    <w:tmpl w:val="957ABF87"/>
    <w:lvl w:ilvl="0" w:tentative="0">
      <w:start w:val="1"/>
      <w:numFmt w:val="bullet"/>
      <w:lvlText w:val=""/>
      <w:lvlJc w:val="left"/>
      <w:pPr>
        <w:ind w:left="420" w:hanging="420"/>
      </w:pPr>
      <w:rPr>
        <w:rFonts w:hint="default" w:ascii="Wingdings" w:hAnsi="Wingdings"/>
      </w:rPr>
    </w:lvl>
  </w:abstractNum>
  <w:abstractNum w:abstractNumId="1">
    <w:nsid w:val="C9EBA48D"/>
    <w:multiLevelType w:val="singleLevel"/>
    <w:tmpl w:val="C9EBA48D"/>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3DFFEEF8"/>
    <w:multiLevelType w:val="singleLevel"/>
    <w:tmpl w:val="3DFFEEF8"/>
    <w:lvl w:ilvl="0" w:tentative="0">
      <w:start w:val="1"/>
      <w:numFmt w:val="decimal"/>
      <w:suff w:val="space"/>
      <w:lvlText w:val="(%1)"/>
      <w:lvlJc w:val="left"/>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8"/>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55F9"/>
    <w:rsid w:val="00460743"/>
    <w:rsid w:val="00755B1E"/>
    <w:rsid w:val="00870042"/>
    <w:rsid w:val="008826DD"/>
    <w:rsid w:val="0090050C"/>
    <w:rsid w:val="009F5992"/>
    <w:rsid w:val="00AA1D8D"/>
    <w:rsid w:val="00B415D5"/>
    <w:rsid w:val="00B47730"/>
    <w:rsid w:val="00C326CF"/>
    <w:rsid w:val="00CB0664"/>
    <w:rsid w:val="00CD19EA"/>
    <w:rsid w:val="00D522A2"/>
    <w:rsid w:val="00EB36D9"/>
    <w:rsid w:val="00F47BF7"/>
    <w:rsid w:val="00FA5EFA"/>
    <w:rsid w:val="00FC693F"/>
    <w:rsid w:val="01570C97"/>
    <w:rsid w:val="017F587E"/>
    <w:rsid w:val="01F617C7"/>
    <w:rsid w:val="021D12B5"/>
    <w:rsid w:val="02210631"/>
    <w:rsid w:val="02661E94"/>
    <w:rsid w:val="02777E55"/>
    <w:rsid w:val="02AC1724"/>
    <w:rsid w:val="02C600A3"/>
    <w:rsid w:val="036208AE"/>
    <w:rsid w:val="03680F6F"/>
    <w:rsid w:val="03921D42"/>
    <w:rsid w:val="043B617E"/>
    <w:rsid w:val="047D5273"/>
    <w:rsid w:val="049E65AB"/>
    <w:rsid w:val="04A52162"/>
    <w:rsid w:val="04E07E4E"/>
    <w:rsid w:val="05B53BB1"/>
    <w:rsid w:val="05D87B84"/>
    <w:rsid w:val="05E22C45"/>
    <w:rsid w:val="05EC3946"/>
    <w:rsid w:val="063B17F3"/>
    <w:rsid w:val="066C0F90"/>
    <w:rsid w:val="06A31DF0"/>
    <w:rsid w:val="06FE2D2D"/>
    <w:rsid w:val="076241C2"/>
    <w:rsid w:val="077A6066"/>
    <w:rsid w:val="08143F1D"/>
    <w:rsid w:val="08145EEF"/>
    <w:rsid w:val="083A0C0C"/>
    <w:rsid w:val="084338AC"/>
    <w:rsid w:val="08824EE7"/>
    <w:rsid w:val="08B17BE1"/>
    <w:rsid w:val="08D17E86"/>
    <w:rsid w:val="08E25FDE"/>
    <w:rsid w:val="09104874"/>
    <w:rsid w:val="091A41B3"/>
    <w:rsid w:val="093C1B94"/>
    <w:rsid w:val="09820A60"/>
    <w:rsid w:val="09A514F4"/>
    <w:rsid w:val="09FF6E41"/>
    <w:rsid w:val="0A622DF4"/>
    <w:rsid w:val="0A6E1714"/>
    <w:rsid w:val="0A943317"/>
    <w:rsid w:val="0AEC6126"/>
    <w:rsid w:val="0B62538F"/>
    <w:rsid w:val="0B686566"/>
    <w:rsid w:val="0BEC6122"/>
    <w:rsid w:val="0C4B4C0A"/>
    <w:rsid w:val="0CA05FA3"/>
    <w:rsid w:val="0CBF689E"/>
    <w:rsid w:val="0CC64A4A"/>
    <w:rsid w:val="0D625D59"/>
    <w:rsid w:val="0D7E04AF"/>
    <w:rsid w:val="0D975B9D"/>
    <w:rsid w:val="0DE44DCC"/>
    <w:rsid w:val="0E594B3D"/>
    <w:rsid w:val="0E843EF7"/>
    <w:rsid w:val="0E935DFC"/>
    <w:rsid w:val="0EF76DEA"/>
    <w:rsid w:val="0F046CBD"/>
    <w:rsid w:val="0F2B146F"/>
    <w:rsid w:val="0F61774B"/>
    <w:rsid w:val="0F6A1BD4"/>
    <w:rsid w:val="0F81030D"/>
    <w:rsid w:val="0FCE728A"/>
    <w:rsid w:val="10CC19E9"/>
    <w:rsid w:val="10E87F18"/>
    <w:rsid w:val="113A2539"/>
    <w:rsid w:val="117D2F3D"/>
    <w:rsid w:val="117F3C29"/>
    <w:rsid w:val="11C52438"/>
    <w:rsid w:val="11E931CF"/>
    <w:rsid w:val="11FF236E"/>
    <w:rsid w:val="12442D06"/>
    <w:rsid w:val="125D177E"/>
    <w:rsid w:val="128213CC"/>
    <w:rsid w:val="128D6FC9"/>
    <w:rsid w:val="128E498E"/>
    <w:rsid w:val="12AB55D5"/>
    <w:rsid w:val="12B40A3B"/>
    <w:rsid w:val="12F74355"/>
    <w:rsid w:val="134A310C"/>
    <w:rsid w:val="13601B12"/>
    <w:rsid w:val="136F50E6"/>
    <w:rsid w:val="148F28CB"/>
    <w:rsid w:val="15663916"/>
    <w:rsid w:val="15727470"/>
    <w:rsid w:val="15CF3257"/>
    <w:rsid w:val="15E13171"/>
    <w:rsid w:val="16026F29"/>
    <w:rsid w:val="1606768E"/>
    <w:rsid w:val="161C3356"/>
    <w:rsid w:val="16555587"/>
    <w:rsid w:val="16A06BC0"/>
    <w:rsid w:val="16C9338F"/>
    <w:rsid w:val="1722157F"/>
    <w:rsid w:val="172D04AA"/>
    <w:rsid w:val="172F13BB"/>
    <w:rsid w:val="179111B2"/>
    <w:rsid w:val="17D96B2F"/>
    <w:rsid w:val="18252867"/>
    <w:rsid w:val="183D2903"/>
    <w:rsid w:val="185773FE"/>
    <w:rsid w:val="186F79AF"/>
    <w:rsid w:val="187A2E35"/>
    <w:rsid w:val="189701E7"/>
    <w:rsid w:val="18CE4216"/>
    <w:rsid w:val="18F217FA"/>
    <w:rsid w:val="18F95331"/>
    <w:rsid w:val="190975CB"/>
    <w:rsid w:val="19297756"/>
    <w:rsid w:val="19A25590"/>
    <w:rsid w:val="19DD3743"/>
    <w:rsid w:val="1A2950FA"/>
    <w:rsid w:val="1A376138"/>
    <w:rsid w:val="1A826A8E"/>
    <w:rsid w:val="1A8E4A9F"/>
    <w:rsid w:val="1AB601E2"/>
    <w:rsid w:val="1ADF13A6"/>
    <w:rsid w:val="1B1243E4"/>
    <w:rsid w:val="1B787C27"/>
    <w:rsid w:val="1BB479C4"/>
    <w:rsid w:val="1BBF7C5E"/>
    <w:rsid w:val="1C042A47"/>
    <w:rsid w:val="1C4812D2"/>
    <w:rsid w:val="1CAC6AD0"/>
    <w:rsid w:val="1CC57F42"/>
    <w:rsid w:val="1CD35E11"/>
    <w:rsid w:val="1D5726AE"/>
    <w:rsid w:val="1D5E6E3B"/>
    <w:rsid w:val="1E004446"/>
    <w:rsid w:val="1E2B0B0E"/>
    <w:rsid w:val="1E3E7C7A"/>
    <w:rsid w:val="1E4C57CB"/>
    <w:rsid w:val="1E4F504E"/>
    <w:rsid w:val="1E506447"/>
    <w:rsid w:val="1E730F02"/>
    <w:rsid w:val="1E756FD1"/>
    <w:rsid w:val="1E9C79EC"/>
    <w:rsid w:val="1ECB5101"/>
    <w:rsid w:val="1EF117D0"/>
    <w:rsid w:val="1F2F5612"/>
    <w:rsid w:val="1FDF1459"/>
    <w:rsid w:val="200C3EF7"/>
    <w:rsid w:val="204C71CD"/>
    <w:rsid w:val="208F3D19"/>
    <w:rsid w:val="20B02BFD"/>
    <w:rsid w:val="20C53DD2"/>
    <w:rsid w:val="2103391B"/>
    <w:rsid w:val="212F7F40"/>
    <w:rsid w:val="21300795"/>
    <w:rsid w:val="217C3D1A"/>
    <w:rsid w:val="21C42B58"/>
    <w:rsid w:val="21EC5CB5"/>
    <w:rsid w:val="222D38D1"/>
    <w:rsid w:val="22561186"/>
    <w:rsid w:val="225E6D5C"/>
    <w:rsid w:val="229F2CC8"/>
    <w:rsid w:val="22A322B2"/>
    <w:rsid w:val="22C92DE5"/>
    <w:rsid w:val="23157720"/>
    <w:rsid w:val="233314C7"/>
    <w:rsid w:val="23817A20"/>
    <w:rsid w:val="23912C04"/>
    <w:rsid w:val="23D305B4"/>
    <w:rsid w:val="245D5B02"/>
    <w:rsid w:val="247D5068"/>
    <w:rsid w:val="24A00DDE"/>
    <w:rsid w:val="24A86E33"/>
    <w:rsid w:val="24BB25D0"/>
    <w:rsid w:val="250D1AD7"/>
    <w:rsid w:val="25DB3FA0"/>
    <w:rsid w:val="25E8611F"/>
    <w:rsid w:val="260B31F7"/>
    <w:rsid w:val="261A5A10"/>
    <w:rsid w:val="26A61DBD"/>
    <w:rsid w:val="26AD0802"/>
    <w:rsid w:val="26C807E7"/>
    <w:rsid w:val="26EB02E7"/>
    <w:rsid w:val="270E700B"/>
    <w:rsid w:val="275F5CF8"/>
    <w:rsid w:val="2774F174"/>
    <w:rsid w:val="277D5657"/>
    <w:rsid w:val="27803378"/>
    <w:rsid w:val="27A257A2"/>
    <w:rsid w:val="27D57C37"/>
    <w:rsid w:val="27DD1FF1"/>
    <w:rsid w:val="285F5C4A"/>
    <w:rsid w:val="28BF6F50"/>
    <w:rsid w:val="29166E4A"/>
    <w:rsid w:val="29B14DA1"/>
    <w:rsid w:val="29C721E5"/>
    <w:rsid w:val="2A175CBD"/>
    <w:rsid w:val="2A5C08E2"/>
    <w:rsid w:val="2A955869"/>
    <w:rsid w:val="2B031721"/>
    <w:rsid w:val="2B094B17"/>
    <w:rsid w:val="2B102C93"/>
    <w:rsid w:val="2B16139F"/>
    <w:rsid w:val="2B417007"/>
    <w:rsid w:val="2B650FCD"/>
    <w:rsid w:val="2B7C435A"/>
    <w:rsid w:val="2B9C641C"/>
    <w:rsid w:val="2BA70043"/>
    <w:rsid w:val="2BAE16AD"/>
    <w:rsid w:val="2C380010"/>
    <w:rsid w:val="2C5C10E7"/>
    <w:rsid w:val="2CB8206C"/>
    <w:rsid w:val="2CD71115"/>
    <w:rsid w:val="2CE33C80"/>
    <w:rsid w:val="2CFA7DF5"/>
    <w:rsid w:val="2D02298F"/>
    <w:rsid w:val="2D5D27F9"/>
    <w:rsid w:val="2D85790B"/>
    <w:rsid w:val="2D8B0003"/>
    <w:rsid w:val="2D9B3963"/>
    <w:rsid w:val="2DB066EE"/>
    <w:rsid w:val="2E1204E1"/>
    <w:rsid w:val="2E450A4A"/>
    <w:rsid w:val="2E557F65"/>
    <w:rsid w:val="2E6E3CFB"/>
    <w:rsid w:val="2E7E51F5"/>
    <w:rsid w:val="2EAB56A1"/>
    <w:rsid w:val="2EED7A8D"/>
    <w:rsid w:val="2EF20691"/>
    <w:rsid w:val="2EF67B05"/>
    <w:rsid w:val="2F120B2A"/>
    <w:rsid w:val="2F7C597C"/>
    <w:rsid w:val="2F8C76F2"/>
    <w:rsid w:val="304F2F84"/>
    <w:rsid w:val="308B07B3"/>
    <w:rsid w:val="312731DE"/>
    <w:rsid w:val="31314109"/>
    <w:rsid w:val="31813DC0"/>
    <w:rsid w:val="31815D30"/>
    <w:rsid w:val="31926A3D"/>
    <w:rsid w:val="31B148E3"/>
    <w:rsid w:val="31CB6BC1"/>
    <w:rsid w:val="31F938DC"/>
    <w:rsid w:val="32487E26"/>
    <w:rsid w:val="32612937"/>
    <w:rsid w:val="32A93554"/>
    <w:rsid w:val="32E91BA2"/>
    <w:rsid w:val="32EE219B"/>
    <w:rsid w:val="330839F9"/>
    <w:rsid w:val="330865C8"/>
    <w:rsid w:val="332F310B"/>
    <w:rsid w:val="334B460B"/>
    <w:rsid w:val="337436F9"/>
    <w:rsid w:val="33774730"/>
    <w:rsid w:val="338116DA"/>
    <w:rsid w:val="33A04957"/>
    <w:rsid w:val="33F8511C"/>
    <w:rsid w:val="347B64AA"/>
    <w:rsid w:val="34B306BA"/>
    <w:rsid w:val="34E65B59"/>
    <w:rsid w:val="3509378F"/>
    <w:rsid w:val="350F349A"/>
    <w:rsid w:val="35257EDB"/>
    <w:rsid w:val="35C66238"/>
    <w:rsid w:val="35D72186"/>
    <w:rsid w:val="35EB3E83"/>
    <w:rsid w:val="3647730B"/>
    <w:rsid w:val="370A244E"/>
    <w:rsid w:val="37211C00"/>
    <w:rsid w:val="37384EAB"/>
    <w:rsid w:val="374C2700"/>
    <w:rsid w:val="37647A49"/>
    <w:rsid w:val="37724E83"/>
    <w:rsid w:val="37A91EAD"/>
    <w:rsid w:val="37B3112A"/>
    <w:rsid w:val="37BD44A8"/>
    <w:rsid w:val="37ED4F33"/>
    <w:rsid w:val="384369D1"/>
    <w:rsid w:val="386C459D"/>
    <w:rsid w:val="38A5010C"/>
    <w:rsid w:val="38A50783"/>
    <w:rsid w:val="38DA279F"/>
    <w:rsid w:val="3922196A"/>
    <w:rsid w:val="399D5175"/>
    <w:rsid w:val="3A4E4604"/>
    <w:rsid w:val="3AF75A49"/>
    <w:rsid w:val="3B4C2F55"/>
    <w:rsid w:val="3B773F38"/>
    <w:rsid w:val="3B827A98"/>
    <w:rsid w:val="3BA548E8"/>
    <w:rsid w:val="3BAF0A7B"/>
    <w:rsid w:val="3BE92C13"/>
    <w:rsid w:val="3BFF3605"/>
    <w:rsid w:val="3C09460C"/>
    <w:rsid w:val="3C535D05"/>
    <w:rsid w:val="3C783E56"/>
    <w:rsid w:val="3C9D15FD"/>
    <w:rsid w:val="3CB75A2A"/>
    <w:rsid w:val="3CBD553B"/>
    <w:rsid w:val="3CC47156"/>
    <w:rsid w:val="3CD73D60"/>
    <w:rsid w:val="3CEF6359"/>
    <w:rsid w:val="3D3CC90F"/>
    <w:rsid w:val="3DAF77FE"/>
    <w:rsid w:val="3DB94353"/>
    <w:rsid w:val="3DC92CFC"/>
    <w:rsid w:val="3E0B6E71"/>
    <w:rsid w:val="3E195EE5"/>
    <w:rsid w:val="3E5C3B5C"/>
    <w:rsid w:val="3EB11C96"/>
    <w:rsid w:val="3F2E7738"/>
    <w:rsid w:val="3F4C08E9"/>
    <w:rsid w:val="3F6D4C9E"/>
    <w:rsid w:val="3F8548C3"/>
    <w:rsid w:val="3FC03423"/>
    <w:rsid w:val="3FDF6F08"/>
    <w:rsid w:val="40226D9C"/>
    <w:rsid w:val="403520ED"/>
    <w:rsid w:val="403E1AF3"/>
    <w:rsid w:val="40532D51"/>
    <w:rsid w:val="40C35059"/>
    <w:rsid w:val="41597072"/>
    <w:rsid w:val="416A64CB"/>
    <w:rsid w:val="41B21655"/>
    <w:rsid w:val="41B75ADD"/>
    <w:rsid w:val="41D05678"/>
    <w:rsid w:val="41E74A11"/>
    <w:rsid w:val="42D40833"/>
    <w:rsid w:val="43597CA2"/>
    <w:rsid w:val="4410023A"/>
    <w:rsid w:val="44645AAD"/>
    <w:rsid w:val="45996EA1"/>
    <w:rsid w:val="465B6E0D"/>
    <w:rsid w:val="46690253"/>
    <w:rsid w:val="46F06A95"/>
    <w:rsid w:val="472438A0"/>
    <w:rsid w:val="47492F00"/>
    <w:rsid w:val="4777325F"/>
    <w:rsid w:val="478900F9"/>
    <w:rsid w:val="47B916EB"/>
    <w:rsid w:val="47F503DB"/>
    <w:rsid w:val="48877A3B"/>
    <w:rsid w:val="49720597"/>
    <w:rsid w:val="49C17812"/>
    <w:rsid w:val="4A1946C3"/>
    <w:rsid w:val="4A225BAC"/>
    <w:rsid w:val="4A2F023C"/>
    <w:rsid w:val="4A2F4EC1"/>
    <w:rsid w:val="4AE24D3F"/>
    <w:rsid w:val="4AF941C0"/>
    <w:rsid w:val="4B51409F"/>
    <w:rsid w:val="4BCB40E3"/>
    <w:rsid w:val="4BFE0015"/>
    <w:rsid w:val="4BFE6267"/>
    <w:rsid w:val="4CB35DAC"/>
    <w:rsid w:val="4D920DD9"/>
    <w:rsid w:val="4DBC05B9"/>
    <w:rsid w:val="4DC20621"/>
    <w:rsid w:val="4DF53E7B"/>
    <w:rsid w:val="4E272122"/>
    <w:rsid w:val="4E2749C3"/>
    <w:rsid w:val="4E4803A1"/>
    <w:rsid w:val="4EF13E61"/>
    <w:rsid w:val="4F52563A"/>
    <w:rsid w:val="4FC20C98"/>
    <w:rsid w:val="511429EF"/>
    <w:rsid w:val="51465EA1"/>
    <w:rsid w:val="51516D4C"/>
    <w:rsid w:val="51656BC5"/>
    <w:rsid w:val="51B56D5C"/>
    <w:rsid w:val="5218427F"/>
    <w:rsid w:val="524013FF"/>
    <w:rsid w:val="524A1D0E"/>
    <w:rsid w:val="525C5A95"/>
    <w:rsid w:val="52CB47A0"/>
    <w:rsid w:val="52E40D40"/>
    <w:rsid w:val="5307382F"/>
    <w:rsid w:val="532509DA"/>
    <w:rsid w:val="532D7257"/>
    <w:rsid w:val="5344250C"/>
    <w:rsid w:val="53597D34"/>
    <w:rsid w:val="53CC09F8"/>
    <w:rsid w:val="53CE790C"/>
    <w:rsid w:val="54824E31"/>
    <w:rsid w:val="548A54DA"/>
    <w:rsid w:val="54A656ED"/>
    <w:rsid w:val="556A70BB"/>
    <w:rsid w:val="558E45DB"/>
    <w:rsid w:val="558F7F2F"/>
    <w:rsid w:val="563E0E8B"/>
    <w:rsid w:val="565168DC"/>
    <w:rsid w:val="567B233F"/>
    <w:rsid w:val="56D057DA"/>
    <w:rsid w:val="56D73EF4"/>
    <w:rsid w:val="57782C90"/>
    <w:rsid w:val="57AB6871"/>
    <w:rsid w:val="57FB2F35"/>
    <w:rsid w:val="581F5323"/>
    <w:rsid w:val="58367E18"/>
    <w:rsid w:val="586133E2"/>
    <w:rsid w:val="587363AB"/>
    <w:rsid w:val="587F7C40"/>
    <w:rsid w:val="58C223CA"/>
    <w:rsid w:val="59163636"/>
    <w:rsid w:val="592A32B8"/>
    <w:rsid w:val="594A4ECB"/>
    <w:rsid w:val="59D2663D"/>
    <w:rsid w:val="5A2302F0"/>
    <w:rsid w:val="5A4A2BB9"/>
    <w:rsid w:val="5A507C2C"/>
    <w:rsid w:val="5A554C9A"/>
    <w:rsid w:val="5A5879DD"/>
    <w:rsid w:val="5A766A76"/>
    <w:rsid w:val="5A783688"/>
    <w:rsid w:val="5AC36B75"/>
    <w:rsid w:val="5B024938"/>
    <w:rsid w:val="5C4966EC"/>
    <w:rsid w:val="5C6D580A"/>
    <w:rsid w:val="5CE550B3"/>
    <w:rsid w:val="5CEE7C31"/>
    <w:rsid w:val="5D440D54"/>
    <w:rsid w:val="5DA23810"/>
    <w:rsid w:val="5E242238"/>
    <w:rsid w:val="5E367222"/>
    <w:rsid w:val="5E434FAE"/>
    <w:rsid w:val="5EA964DB"/>
    <w:rsid w:val="5EB76339"/>
    <w:rsid w:val="5EC16406"/>
    <w:rsid w:val="5EE148FA"/>
    <w:rsid w:val="5F255610"/>
    <w:rsid w:val="5F5B5623"/>
    <w:rsid w:val="5F7E406D"/>
    <w:rsid w:val="5FCD2DBA"/>
    <w:rsid w:val="5FD215C4"/>
    <w:rsid w:val="60395667"/>
    <w:rsid w:val="606C09EB"/>
    <w:rsid w:val="60FE756F"/>
    <w:rsid w:val="611A2DA3"/>
    <w:rsid w:val="613A1697"/>
    <w:rsid w:val="61E7472F"/>
    <w:rsid w:val="61E8175B"/>
    <w:rsid w:val="61F45D98"/>
    <w:rsid w:val="61FB06BE"/>
    <w:rsid w:val="620B112E"/>
    <w:rsid w:val="620D33E1"/>
    <w:rsid w:val="62643CF8"/>
    <w:rsid w:val="626C278F"/>
    <w:rsid w:val="628C0609"/>
    <w:rsid w:val="629149FC"/>
    <w:rsid w:val="62B35552"/>
    <w:rsid w:val="62F06B52"/>
    <w:rsid w:val="636A4566"/>
    <w:rsid w:val="638B2287"/>
    <w:rsid w:val="63AC1F5E"/>
    <w:rsid w:val="63B71D2C"/>
    <w:rsid w:val="63F61BCA"/>
    <w:rsid w:val="64875F7C"/>
    <w:rsid w:val="64A62FAD"/>
    <w:rsid w:val="64D74016"/>
    <w:rsid w:val="65156AE4"/>
    <w:rsid w:val="656E3F89"/>
    <w:rsid w:val="65841289"/>
    <w:rsid w:val="65883653"/>
    <w:rsid w:val="65CD0D2C"/>
    <w:rsid w:val="65D71DB9"/>
    <w:rsid w:val="661275CF"/>
    <w:rsid w:val="66314D74"/>
    <w:rsid w:val="66393280"/>
    <w:rsid w:val="66470189"/>
    <w:rsid w:val="66B51F9B"/>
    <w:rsid w:val="67292CCC"/>
    <w:rsid w:val="676175B2"/>
    <w:rsid w:val="67BE9B8D"/>
    <w:rsid w:val="680A363F"/>
    <w:rsid w:val="680D5952"/>
    <w:rsid w:val="681D2A25"/>
    <w:rsid w:val="68960EF9"/>
    <w:rsid w:val="68BE0B64"/>
    <w:rsid w:val="69382960"/>
    <w:rsid w:val="695B7C61"/>
    <w:rsid w:val="69F52238"/>
    <w:rsid w:val="69F92BC5"/>
    <w:rsid w:val="6A2471B2"/>
    <w:rsid w:val="6A3F57DD"/>
    <w:rsid w:val="6AA40331"/>
    <w:rsid w:val="6AAA4E8C"/>
    <w:rsid w:val="6B217DAD"/>
    <w:rsid w:val="6BAF4A30"/>
    <w:rsid w:val="6BFFA1E1"/>
    <w:rsid w:val="6C2418C5"/>
    <w:rsid w:val="6C586E75"/>
    <w:rsid w:val="6C8F2FF0"/>
    <w:rsid w:val="6CCE5AA4"/>
    <w:rsid w:val="6D0C0889"/>
    <w:rsid w:val="6D893768"/>
    <w:rsid w:val="6DAC7703"/>
    <w:rsid w:val="6DEB1E84"/>
    <w:rsid w:val="6EB10116"/>
    <w:rsid w:val="6EBC66AA"/>
    <w:rsid w:val="6F5731E9"/>
    <w:rsid w:val="6F597B06"/>
    <w:rsid w:val="6F7A6543"/>
    <w:rsid w:val="6FA523D2"/>
    <w:rsid w:val="6FDD89DD"/>
    <w:rsid w:val="7064228D"/>
    <w:rsid w:val="70A367DC"/>
    <w:rsid w:val="70DF9CE4"/>
    <w:rsid w:val="70EF4E36"/>
    <w:rsid w:val="717410B3"/>
    <w:rsid w:val="719C3171"/>
    <w:rsid w:val="71A130D0"/>
    <w:rsid w:val="71F0056D"/>
    <w:rsid w:val="72115342"/>
    <w:rsid w:val="724D7188"/>
    <w:rsid w:val="72AC7C6E"/>
    <w:rsid w:val="72ED1F84"/>
    <w:rsid w:val="73047898"/>
    <w:rsid w:val="73964869"/>
    <w:rsid w:val="73A81F4C"/>
    <w:rsid w:val="73B1065D"/>
    <w:rsid w:val="73C81887"/>
    <w:rsid w:val="73F43927"/>
    <w:rsid w:val="74070287"/>
    <w:rsid w:val="743C51B4"/>
    <w:rsid w:val="74B97D58"/>
    <w:rsid w:val="74E8105B"/>
    <w:rsid w:val="750E4BC7"/>
    <w:rsid w:val="7510601B"/>
    <w:rsid w:val="753627F6"/>
    <w:rsid w:val="75776CC4"/>
    <w:rsid w:val="75A03D67"/>
    <w:rsid w:val="75CA32A3"/>
    <w:rsid w:val="75E91581"/>
    <w:rsid w:val="7606169C"/>
    <w:rsid w:val="760C32EE"/>
    <w:rsid w:val="76415493"/>
    <w:rsid w:val="767F5A29"/>
    <w:rsid w:val="769C5AF2"/>
    <w:rsid w:val="76C23463"/>
    <w:rsid w:val="76D65566"/>
    <w:rsid w:val="772C5186"/>
    <w:rsid w:val="776564EF"/>
    <w:rsid w:val="77682CF7"/>
    <w:rsid w:val="777FA5BE"/>
    <w:rsid w:val="77831323"/>
    <w:rsid w:val="779D1846"/>
    <w:rsid w:val="77C10D1D"/>
    <w:rsid w:val="77CB6E11"/>
    <w:rsid w:val="77E67D42"/>
    <w:rsid w:val="784F7772"/>
    <w:rsid w:val="785E6707"/>
    <w:rsid w:val="786B7F9B"/>
    <w:rsid w:val="789214E0"/>
    <w:rsid w:val="793F71C9"/>
    <w:rsid w:val="79516EBF"/>
    <w:rsid w:val="797634F8"/>
    <w:rsid w:val="79EBF002"/>
    <w:rsid w:val="7A564AD6"/>
    <w:rsid w:val="7A5C5D83"/>
    <w:rsid w:val="7A864AF2"/>
    <w:rsid w:val="7AC722F2"/>
    <w:rsid w:val="7AFC7375"/>
    <w:rsid w:val="7B8C7BB6"/>
    <w:rsid w:val="7BFE132A"/>
    <w:rsid w:val="7C0C0492"/>
    <w:rsid w:val="7C23124E"/>
    <w:rsid w:val="7C2A7A42"/>
    <w:rsid w:val="7C9E6B26"/>
    <w:rsid w:val="7CC85951"/>
    <w:rsid w:val="7CE00DDE"/>
    <w:rsid w:val="7D060228"/>
    <w:rsid w:val="7D392A25"/>
    <w:rsid w:val="7D4621E3"/>
    <w:rsid w:val="7D693587"/>
    <w:rsid w:val="7DA272B5"/>
    <w:rsid w:val="7DBB1012"/>
    <w:rsid w:val="7DEC12D9"/>
    <w:rsid w:val="7E1A02DA"/>
    <w:rsid w:val="7E4A54BE"/>
    <w:rsid w:val="7E8E272F"/>
    <w:rsid w:val="7F2C2CBF"/>
    <w:rsid w:val="7F5710B6"/>
    <w:rsid w:val="7FBFDDC1"/>
    <w:rsid w:val="7FF59DB3"/>
    <w:rsid w:val="7FFB5DB6"/>
    <w:rsid w:val="7FFD1E17"/>
    <w:rsid w:val="7FFF9D5E"/>
    <w:rsid w:val="9F7B6662"/>
    <w:rsid w:val="A5F7FCDB"/>
    <w:rsid w:val="BEF75E99"/>
    <w:rsid w:val="BFF93218"/>
    <w:rsid w:val="D5BF9280"/>
    <w:rsid w:val="E7EEACD2"/>
    <w:rsid w:val="EB1F5022"/>
    <w:rsid w:val="EEBF50A3"/>
    <w:rsid w:val="F71E2D5D"/>
    <w:rsid w:val="F71EF9CF"/>
    <w:rsid w:val="F9FADA57"/>
    <w:rsid w:val="FAFD598B"/>
    <w:rsid w:val="FBEB6F1C"/>
    <w:rsid w:val="FD7FD39E"/>
    <w:rsid w:val="FDD36996"/>
    <w:rsid w:val="FF17B4F1"/>
    <w:rsid w:val="FF7F1166"/>
    <w:rsid w:val="FF7F29D7"/>
    <w:rsid w:val="FFF3DC80"/>
    <w:rsid w:val="FFF6843A"/>
    <w:rsid w:val="FFF780CC"/>
    <w:rsid w:val="FFFFB9AA"/>
    <w:rsid w:val="FFFFEBC9"/>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ind w:left="0" w:leftChars="0" w:firstLine="440" w:firstLineChars="200"/>
    </w:pPr>
    <w:rPr>
      <w:rFonts w:ascii="微软雅黑" w:hAnsi="微软雅黑" w:eastAsia="微软雅黑" w:cstheme="minorBidi"/>
      <w:sz w:val="22"/>
      <w:szCs w:val="22"/>
      <w:lang w:val="en-US" w:eastAsia="en-US" w:bidi="ar-SA"/>
    </w:rPr>
  </w:style>
  <w:style w:type="paragraph" w:styleId="3">
    <w:name w:val="heading 1"/>
    <w:basedOn w:val="1"/>
    <w:next w:val="1"/>
    <w:link w:val="153"/>
    <w:qFormat/>
    <w:uiPriority w:val="9"/>
    <w:pPr>
      <w:keepNext/>
      <w:keepLines/>
      <w:spacing w:before="480" w:after="240"/>
      <w:outlineLvl w:val="0"/>
    </w:pPr>
    <w:rPr>
      <w:rFonts w:asciiTheme="majorHAnsi" w:hAnsiTheme="majorHAnsi" w:eastAsiaTheme="majorEastAsia" w:cstheme="majorBidi"/>
      <w:b/>
      <w:bCs/>
      <w:color w:val="1A1A2E"/>
      <w:sz w:val="36"/>
      <w:szCs w:val="28"/>
    </w:rPr>
  </w:style>
  <w:style w:type="paragraph" w:styleId="4">
    <w:name w:val="heading 2"/>
    <w:basedOn w:val="1"/>
    <w:next w:val="1"/>
    <w:link w:val="144"/>
    <w:unhideWhenUsed/>
    <w:qFormat/>
    <w:uiPriority w:val="9"/>
    <w:pPr>
      <w:keepNext/>
      <w:keepLines/>
      <w:spacing w:before="360" w:after="160"/>
      <w:ind w:firstLine="0" w:firstLineChars="0"/>
      <w:outlineLvl w:val="1"/>
    </w:pPr>
    <w:rPr>
      <w:rFonts w:asciiTheme="majorHAnsi" w:hAnsiTheme="majorHAnsi" w:eastAsiaTheme="majorEastAsia" w:cstheme="majorBidi"/>
      <w:b/>
      <w:bCs/>
      <w:color w:val="1A1A2E"/>
      <w:sz w:val="30"/>
      <w:szCs w:val="26"/>
    </w:rPr>
  </w:style>
  <w:style w:type="paragraph" w:styleId="5">
    <w:name w:val="heading 3"/>
    <w:basedOn w:val="1"/>
    <w:next w:val="1"/>
    <w:link w:val="154"/>
    <w:unhideWhenUsed/>
    <w:qFormat/>
    <w:uiPriority w:val="9"/>
    <w:pPr>
      <w:keepNext/>
      <w:keepLines/>
      <w:spacing w:before="240" w:after="120"/>
      <w:ind w:firstLine="0" w:firstLineChars="0"/>
      <w:outlineLvl w:val="2"/>
    </w:pPr>
    <w:rPr>
      <w:rFonts w:asciiTheme="majorHAnsi" w:hAnsiTheme="majorHAnsi" w:eastAsiaTheme="majorEastAsia" w:cstheme="majorBidi"/>
      <w:b/>
      <w:bCs/>
      <w:color w:val="1A1A2E"/>
      <w:sz w:val="26"/>
    </w:rPr>
  </w:style>
  <w:style w:type="paragraph" w:styleId="6">
    <w:name w:val="heading 4"/>
    <w:basedOn w:val="1"/>
    <w:next w:val="1"/>
    <w:link w:val="158"/>
    <w:semiHidden/>
    <w:unhideWhenUsed/>
    <w:qFormat/>
    <w:uiPriority w:val="9"/>
    <w:pPr>
      <w:keepNext/>
      <w:keepLines/>
      <w:spacing w:before="200"/>
      <w:outlineLvl w:val="3"/>
    </w:pPr>
    <w:rPr>
      <w:rFonts w:asciiTheme="majorHAnsi" w:hAnsiTheme="majorHAnsi" w:eastAsiaTheme="majorEastAsia" w:cstheme="majorBidi"/>
      <w:b/>
      <w:bCs/>
      <w:i/>
      <w:iCs/>
      <w:color w:val="1A1A2E"/>
      <w:sz w:val="24"/>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4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4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2"/>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6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1"/>
    <w:unhideWhenUsed/>
    <w:qFormat/>
    <w:uiPriority w:val="99"/>
    <w:pPr>
      <w:tabs>
        <w:tab w:val="center" w:pos="4680"/>
        <w:tab w:val="right" w:pos="9360"/>
      </w:tabs>
      <w:spacing w:after="0" w:line="240" w:lineRule="auto"/>
    </w:pPr>
  </w:style>
  <w:style w:type="paragraph" w:styleId="25">
    <w:name w:val="header"/>
    <w:basedOn w:val="1"/>
    <w:link w:val="143"/>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6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3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60"/>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正文文本 2 字符"/>
    <w:basedOn w:val="135"/>
    <w:link w:val="30"/>
    <w:qFormat/>
    <w:uiPriority w:val="99"/>
  </w:style>
  <w:style w:type="paragraph" w:styleId="139">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40">
    <w:name w:val="宏文本 字符"/>
    <w:basedOn w:val="135"/>
    <w:link w:val="2"/>
    <w:qFormat/>
    <w:uiPriority w:val="99"/>
    <w:rPr>
      <w:rFonts w:ascii="Courier" w:hAnsi="Courier"/>
      <w:sz w:val="20"/>
      <w:szCs w:val="20"/>
    </w:rPr>
  </w:style>
  <w:style w:type="paragraph" w:styleId="141">
    <w:name w:val="Quote"/>
    <w:basedOn w:val="1"/>
    <w:next w:val="1"/>
    <w:link w:val="149"/>
    <w:qFormat/>
    <w:uiPriority w:val="29"/>
    <w:rPr>
      <w:i/>
      <w:iCs/>
      <w:color w:val="000000" w:themeColor="text1"/>
      <w14:textFill>
        <w14:solidFill>
          <w14:schemeClr w14:val="tx1"/>
        </w14:solidFill>
      </w14:textFill>
    </w:rPr>
  </w:style>
  <w:style w:type="paragraph" w:styleId="142">
    <w:name w:val="List Paragraph"/>
    <w:basedOn w:val="1"/>
    <w:qFormat/>
    <w:uiPriority w:val="34"/>
    <w:pPr>
      <w:ind w:left="720"/>
      <w:contextualSpacing/>
    </w:pPr>
  </w:style>
  <w:style w:type="character" w:customStyle="1" w:styleId="143">
    <w:name w:val="页眉 字符"/>
    <w:basedOn w:val="135"/>
    <w:link w:val="25"/>
    <w:qFormat/>
    <w:uiPriority w:val="99"/>
  </w:style>
  <w:style w:type="character" w:customStyle="1" w:styleId="144">
    <w:name w:val="标题 2 字符"/>
    <w:link w:val="4"/>
    <w:qFormat/>
    <w:uiPriority w:val="9"/>
    <w:rPr>
      <w:rFonts w:asciiTheme="majorHAnsi" w:hAnsiTheme="majorHAnsi" w:eastAsiaTheme="majorEastAsia" w:cstheme="majorBidi"/>
      <w:b/>
      <w:bCs/>
      <w:color w:val="1A1A2E"/>
      <w:sz w:val="30"/>
      <w:szCs w:val="26"/>
      <w:lang w:val="en-US" w:eastAsia="en-US" w:bidi="ar-SA"/>
    </w:rPr>
  </w:style>
  <w:style w:type="character" w:customStyle="1" w:styleId="145">
    <w:name w:val="明显强调1"/>
    <w:basedOn w:val="135"/>
    <w:qFormat/>
    <w:uiPriority w:val="21"/>
    <w:rPr>
      <w:b/>
      <w:bCs/>
      <w:i/>
      <w:iCs/>
      <w:color w:val="4F81BD" w:themeColor="accent1"/>
      <w14:textFill>
        <w14:solidFill>
          <w14:schemeClr w14:val="accent1"/>
        </w14:solidFill>
      </w14:textFill>
    </w:rPr>
  </w:style>
  <w:style w:type="character" w:customStyle="1" w:styleId="146">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47">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48">
    <w:name w:val="不明显参考1"/>
    <w:basedOn w:val="135"/>
    <w:qFormat/>
    <w:uiPriority w:val="31"/>
    <w:rPr>
      <w:smallCaps/>
      <w:color w:val="C0504D" w:themeColor="accent2"/>
      <w:u w:val="single"/>
      <w14:textFill>
        <w14:solidFill>
          <w14:schemeClr w14:val="accent2"/>
        </w14:solidFill>
      </w14:textFill>
    </w:rPr>
  </w:style>
  <w:style w:type="character" w:customStyle="1" w:styleId="149">
    <w:name w:val="引用 字符"/>
    <w:basedOn w:val="135"/>
    <w:link w:val="141"/>
    <w:qFormat/>
    <w:uiPriority w:val="29"/>
    <w:rPr>
      <w:i/>
      <w:iCs/>
      <w:color w:val="000000" w:themeColor="text1"/>
      <w14:textFill>
        <w14:solidFill>
          <w14:schemeClr w14:val="tx1"/>
        </w14:solidFill>
      </w14:textFill>
    </w:rPr>
  </w:style>
  <w:style w:type="character" w:customStyle="1" w:styleId="150">
    <w:name w:val="书籍标题1"/>
    <w:basedOn w:val="135"/>
    <w:qFormat/>
    <w:uiPriority w:val="33"/>
    <w:rPr>
      <w:b/>
      <w:bCs/>
      <w:smallCaps/>
      <w:spacing w:val="5"/>
    </w:rPr>
  </w:style>
  <w:style w:type="paragraph" w:customStyle="1" w:styleId="151">
    <w:name w:val="TOC 标题1"/>
    <w:basedOn w:val="3"/>
    <w:next w:val="1"/>
    <w:semiHidden/>
    <w:unhideWhenUsed/>
    <w:qFormat/>
    <w:uiPriority w:val="39"/>
    <w:pPr>
      <w:outlineLvl w:val="9"/>
    </w:pPr>
  </w:style>
  <w:style w:type="character" w:customStyle="1" w:styleId="152">
    <w:name w:val="正文文本 3 字符"/>
    <w:basedOn w:val="135"/>
    <w:link w:val="17"/>
    <w:qFormat/>
    <w:uiPriority w:val="99"/>
    <w:rPr>
      <w:sz w:val="16"/>
      <w:szCs w:val="16"/>
    </w:rPr>
  </w:style>
  <w:style w:type="character" w:customStyle="1" w:styleId="153">
    <w:name w:val="标题 1 字符"/>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54">
    <w:name w:val="标题 3 字符"/>
    <w:link w:val="5"/>
    <w:qFormat/>
    <w:uiPriority w:val="9"/>
    <w:rPr>
      <w:rFonts w:asciiTheme="majorHAnsi" w:hAnsiTheme="majorHAnsi" w:eastAsiaTheme="majorEastAsia" w:cstheme="majorBidi"/>
      <w:b/>
      <w:bCs/>
      <w:color w:val="1A1A2E"/>
      <w:sz w:val="26"/>
      <w:szCs w:val="22"/>
      <w:lang w:val="en-US" w:eastAsia="en-US" w:bidi="ar-SA"/>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明显参考1"/>
    <w:basedOn w:val="135"/>
    <w:qFormat/>
    <w:uiPriority w:val="32"/>
    <w:rPr>
      <w:b/>
      <w:bCs/>
      <w:smallCaps/>
      <w:color w:val="C0504D" w:themeColor="accent2"/>
      <w:spacing w:val="5"/>
      <w:u w:val="single"/>
      <w14:textFill>
        <w14:solidFill>
          <w14:schemeClr w14:val="accent2"/>
        </w14:solidFill>
      </w14:textFill>
    </w:rPr>
  </w:style>
  <w:style w:type="paragraph" w:styleId="157">
    <w:name w:val="No Spacing"/>
    <w:qFormat/>
    <w:uiPriority w:val="1"/>
    <w:rPr>
      <w:rFonts w:asciiTheme="minorHAnsi" w:hAnsiTheme="minorHAnsi" w:eastAsiaTheme="minorEastAsia" w:cstheme="minorBidi"/>
      <w:sz w:val="22"/>
      <w:szCs w:val="22"/>
      <w:lang w:val="en-US" w:eastAsia="en-US" w:bidi="ar-SA"/>
    </w:rPr>
  </w:style>
  <w:style w:type="character" w:customStyle="1" w:styleId="158">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9">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61">
    <w:name w:val="页脚 字符"/>
    <w:basedOn w:val="135"/>
    <w:link w:val="24"/>
    <w:qFormat/>
    <w:uiPriority w:val="99"/>
  </w:style>
  <w:style w:type="character" w:customStyle="1" w:styleId="162">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63">
    <w:name w:val="明显引用 字符"/>
    <w:basedOn w:val="135"/>
    <w:link w:val="139"/>
    <w:qFormat/>
    <w:uiPriority w:val="30"/>
    <w:rPr>
      <w:b/>
      <w:bCs/>
      <w:i/>
      <w:iCs/>
      <w:color w:val="4F81BD" w:themeColor="accent1"/>
      <w14:textFill>
        <w14:solidFill>
          <w14:schemeClr w14:val="accent1"/>
        </w14:solidFill>
      </w14:textFill>
    </w:rPr>
  </w:style>
  <w:style w:type="character" w:customStyle="1" w:styleId="164">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5">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66">
    <w:name w:val="正文文本 字符"/>
    <w:basedOn w:val="135"/>
    <w:link w:val="19"/>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1920</Words>
  <Characters>3146</Characters>
  <TotalTime>10</TotalTime>
  <ScaleCrop>false</ScaleCrop>
  <LinksUpToDate>false</LinksUpToDate>
  <CharactersWithSpaces>3177</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2026-08-13T12:24:00Z</dcterms:created>
  <dc:creator>w</dc:creator>
  <cp:lastModifiedBy>Cary</cp:lastModifiedBy>
  <dcterms:modified xsi:type="dcterms:W3CDTF">2026-08-26T00:54:52Z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eyJoZGlkIjoiOTg0MTdhOWUwZDc4NjI1NThjZTA3ODZlNDU3NmZlZDQiLCJ1c2VySWQiOiIyOTI3ODcyODIifQ==</vt:lpwstr>
  </property>
  <property fmtid="{D5CDD505-2E9C-101B-9397-08002B2CF9AE}" pid="3" name="KSOProductBuildVer">
    <vt:lpwstr>2052-12.1.0.28043</vt:lpwstr>
  </property>
  <property fmtid="{D5CDD505-2E9C-101B-9397-08002B2CF9AE}" pid="4" name="ICV">
    <vt:lpwstr>89C6C9CAB08C49C5BA2D13C2091CC1E5_13</vt:lpwstr>
  </property>
</Properties>
</file>