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4A1FE">
      <w:pPr>
        <w:rPr>
          <w:rFonts w:hint="eastAsia"/>
          <w:b/>
          <w:bCs/>
        </w:rPr>
      </w:pPr>
      <w:r>
        <w:rPr>
          <w:b/>
          <w:bCs/>
        </w:rPr>
        <w:t>II. System Model and Problem Formulation (系统模型与问题定义)</w:t>
      </w:r>
    </w:p>
    <w:p w14:paraId="2BE74360">
      <w:pPr>
        <w:rPr>
          <w:rFonts w:hint="eastAsia"/>
          <w:b/>
          <w:bCs/>
        </w:rPr>
      </w:pPr>
      <w:r>
        <w:rPr>
          <w:b/>
          <w:bCs/>
        </w:rPr>
        <w:t>A. Network Topology and Differentiated Traffic Model(网络拓扑与差异化流量模型)</w:t>
      </w:r>
    </w:p>
    <w:p w14:paraId="621089E6">
      <w:pPr>
        <w:rPr>
          <w:rFonts w:hint="eastAsia"/>
        </w:rPr>
      </w:pPr>
      <w:r>
        <w:t>我们将巨型星地一体化网络建模为时变有向图</w:t>
      </w:r>
      <w:r>
        <w:rPr>
          <w:rFonts w:hint="eastAsia"/>
          <w:position w:val="-10"/>
        </w:rPr>
        <w:object>
          <v:shape id="_x0000_i1025" o:spt="75" type="#_x0000_t75" style="height:15.95pt;width:77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t>，其中</w:t>
      </w:r>
      <w:r>
        <w:rPr>
          <w:rFonts w:hint="eastAsia"/>
          <w:position w:val="-6"/>
        </w:rPr>
        <w:object>
          <v:shape id="_x0000_i1026" o:spt="75" type="#_x0000_t75" style="height:14.15pt;width:11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t>为网络节点集合（包含数百至上千个卫星及地面节点），</w:t>
      </w:r>
      <w:r>
        <w:rPr>
          <w:rFonts w:hint="eastAsia"/>
          <w:position w:val="-10"/>
        </w:rPr>
        <w:object>
          <v:shape id="_x0000_i1027" o:spt="75" type="#_x0000_t75" style="height:15.95pt;width:22.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t>为在离散时隙</w:t>
      </w:r>
      <w:r>
        <w:rPr>
          <w:rFonts w:hint="eastAsia"/>
          <w:position w:val="-10"/>
        </w:rPr>
        <w:object>
          <v:shape id="_x0000_i1028" o:spt="75" type="#_x0000_t75" style="height:15.95pt;width:66.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t>内处于激活状态的星间链路（ISL）及星地链路集合。受限于光电混合链路的对准精度与星历运动，链路</w:t>
      </w:r>
      <w:r>
        <w:rPr>
          <w:rFonts w:hint="eastAsia"/>
          <w:position w:val="-10"/>
        </w:rPr>
        <w:object>
          <v:shape id="_x0000_i1029" o:spt="75" type="#_x0000_t75" style="height:15.95pt;width:40.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t>的物理容量</w:t>
      </w:r>
      <w:r>
        <w:rPr>
          <w:rFonts w:hint="eastAsia"/>
          <w:position w:val="-12"/>
        </w:rPr>
        <w:object>
          <v:shape id="_x0000_i1030" o:spt="75" type="#_x0000_t75" style="height:18.25pt;width:27.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t>随时间动态变化。</w:t>
      </w:r>
    </w:p>
    <w:p w14:paraId="2F871618">
      <w:pPr>
        <w:rPr>
          <w:rFonts w:hint="eastAsia"/>
        </w:rPr>
      </w:pPr>
      <w:r>
        <w:t>针对网络中多样化的业务需求，定义受控业务流集合为</w:t>
      </w:r>
      <w:r>
        <w:rPr>
          <w:rFonts w:hint="eastAsia"/>
          <w:position w:val="-6"/>
        </w:rPr>
        <w:object>
          <v:shape id="_x0000_i1031" o:spt="75" type="#_x0000_t75" style="height:14.15pt;width:13.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t>，并将其划分为不同的服务质量（QoS）等级集合</w:t>
      </w:r>
      <w:r>
        <w:rPr>
          <w:rFonts w:hint="eastAsia"/>
          <w:position w:val="-6"/>
        </w:rPr>
        <w:object>
          <v:shape id="_x0000_i1032" o:spt="75" type="#_x0000_t75" style="height:14.15pt;width:10.9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t>。对于任意业务流</w:t>
      </w:r>
      <w:r>
        <w:rPr>
          <w:rFonts w:hint="eastAsia"/>
          <w:position w:val="-12"/>
        </w:rPr>
        <w:object>
          <v:shape id="_x0000_i1033" o:spt="75" type="#_x0000_t75" style="height:18.25pt;width:32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t>（所属等级为</w:t>
      </w:r>
      <w:r>
        <w:rPr>
          <w:rFonts w:hint="eastAsia"/>
          <w:position w:val="-6"/>
        </w:rPr>
        <w:object>
          <v:shape id="_x0000_i1034" o:spt="75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t>），其源节点为</w:t>
      </w:r>
      <w:r>
        <w:rPr>
          <w:rFonts w:hint="eastAsia"/>
          <w:position w:val="-12"/>
        </w:rPr>
        <w:object>
          <v:shape id="_x0000_i1035" o:spt="75" type="#_x0000_t75" style="height:18.25pt;width:11.8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t>，目的节点为</w:t>
      </w:r>
      <w:r>
        <w:rPr>
          <w:rFonts w:hint="eastAsia"/>
          <w:position w:val="-12"/>
        </w:rPr>
        <w:object>
          <v:shape id="_x0000_i1036" o:spt="75" type="#_x0000_t75" style="height:18.25pt;width:14.1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t>，在时隙</w:t>
      </w:r>
      <w:r>
        <w:rPr>
          <w:rFonts w:hint="eastAsia"/>
          <w:position w:val="-6"/>
        </w:rPr>
        <w:object>
          <v:shape id="_x0000_i1037" o:spt="75" type="#_x0000_t75" style="height:11.85pt;width:6.8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t>的数据到达率为</w:t>
      </w:r>
      <w:r>
        <w:rPr>
          <w:rFonts w:hint="eastAsia"/>
          <w:position w:val="-12"/>
        </w:rPr>
        <w:object>
          <v:shape id="_x0000_i1038" o:spt="75" type="#_x0000_t75" style="height:18.25pt;width:26.9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t>。</w:t>
      </w:r>
    </w:p>
    <w:p w14:paraId="6C6772E1">
      <w:pPr>
        <w:rPr>
          <w:rFonts w:hint="eastAsia"/>
        </w:rPr>
      </w:pPr>
      <w:r>
        <w:t>为实现精细化的流量工程，引入两个维度的服务质量参数：</w:t>
      </w:r>
    </w:p>
    <w:p w14:paraId="57AF0B9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position w:val="-12"/>
        </w:rPr>
        <w:object>
          <v:shape id="_x0000_i1039" o:spt="75" type="#_x0000_t75" style="height:18.25pt;width:32.8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b/>
          <w:bCs/>
        </w:rPr>
        <w:t>(Delay Penalty Weight):</w:t>
      </w:r>
      <w:r>
        <w:t xml:space="preserve"> 延迟惩罚权重。该值越大，表明业务对端到端传输延迟越敏感。</w:t>
      </w:r>
    </w:p>
    <w:p w14:paraId="715D52D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  <w:position w:val="-12"/>
        </w:rPr>
        <w:object>
          <v:shape id="_x0000_i1040" o:spt="75" type="#_x0000_t75" style="height:18.25pt;width:32.8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b/>
          <w:bCs/>
        </w:rPr>
        <w:t>(Congestion Sensitivity Weight):</w:t>
      </w:r>
      <w:r>
        <w:t xml:space="preserve"> 拥塞敏感度权重。该值越大，表明业务在路由决策时越倾向于规避具有排队积压的拥塞链路。</w:t>
      </w:r>
    </w:p>
    <w:p w14:paraId="243FBC8D">
      <w:pPr>
        <w:rPr>
          <w:rFonts w:hint="eastAsia"/>
        </w:rPr>
      </w:pPr>
      <w:r>
        <w:t>在混合控制架构下，集中式控制器通过</w:t>
      </w:r>
      <w:r>
        <w:rPr>
          <w:rFonts w:hint="eastAsia"/>
          <w:position w:val="-4"/>
        </w:rPr>
        <w:object>
          <v:shape id="_x0000_i1041" o:spt="75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t>最短路径（KSP）算法为每条业务流</w:t>
      </w:r>
      <w:r>
        <w:rPr>
          <w:rFonts w:hint="eastAsia"/>
          <w:position w:val="-6"/>
        </w:rPr>
        <w:object>
          <v:shape id="_x0000_i1042" o:spt="75" type="#_x0000_t75" style="height:14.15pt;width:10.0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t>预置无环备选路径集合</w:t>
      </w:r>
      <w:r>
        <w:rPr>
          <w:rFonts w:hint="eastAsia"/>
          <w:position w:val="-12"/>
        </w:rPr>
        <w:object>
          <v:shape id="_x0000_i1043" o:spt="75" type="#_x0000_t75" style="height:18.25pt;width:14.1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t>。定义连续决策变量</w:t>
      </w:r>
      <w:r>
        <w:rPr>
          <w:rFonts w:hint="eastAsia"/>
          <w:position w:val="-12"/>
        </w:rPr>
        <w:object>
          <v:shape id="_x0000_i1044" o:spt="75" type="#_x0000_t75" style="height:19.15pt;width:46.0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t>为时隙</w:t>
      </w:r>
      <w:r>
        <w:rPr>
          <w:rFonts w:hint="eastAsia"/>
          <w:position w:val="-6"/>
        </w:rPr>
        <w:object>
          <v:shape id="_x0000_i1045" o:spt="75" type="#_x0000_t75" style="height:11.85pt;width:6.8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t>内分配至路径</w:t>
      </w:r>
      <w:r>
        <w:rPr>
          <w:rFonts w:hint="eastAsia"/>
          <w:position w:val="-12"/>
        </w:rPr>
        <w:object>
          <v:shape id="_x0000_i1046" o:spt="75" type="#_x0000_t75" style="height:18.25pt;width:34.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t>的数据速率。</w:t>
      </w:r>
    </w:p>
    <w:p w14:paraId="3C313AC6">
      <w:pPr>
        <w:rPr>
          <w:rFonts w:hint="eastAsia"/>
          <w:b/>
          <w:bCs/>
        </w:rPr>
      </w:pPr>
      <w:r>
        <w:rPr>
          <w:b/>
          <w:bCs/>
        </w:rPr>
        <w:t>B. Queueing Dynamics under Hybrid Control(混合控制下的队列动态)</w:t>
      </w:r>
    </w:p>
    <w:p w14:paraId="47A897B2">
      <w:pPr>
        <w:rPr>
          <w:rFonts w:hint="eastAsia"/>
        </w:rPr>
      </w:pPr>
      <w:r>
        <w:t>网络流量在物理链路上被解耦为分布式背景流量与集中式受控流量。在时隙</w:t>
      </w:r>
      <w:r>
        <w:rPr>
          <w:rFonts w:hint="eastAsia"/>
          <w:position w:val="-6"/>
        </w:rPr>
        <w:object>
          <v:shape id="_x0000_i1047" o:spt="75" type="#_x0000_t75" style="height:11.85pt;width:6.8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t>，底层分布式协议（如OSPF）在链路</w:t>
      </w:r>
      <w:r>
        <w:rPr>
          <w:rFonts w:hint="eastAsia"/>
          <w:position w:val="-6"/>
        </w:rPr>
        <w:object>
          <v:shape id="_x0000_i1048" o:spt="75" type="#_x0000_t75" style="height:10.95pt;width:9.1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t>上产生的不可控背景流量带宽记为</w:t>
      </w:r>
      <w:r>
        <w:rPr>
          <w:rFonts w:hint="eastAsia"/>
          <w:position w:val="-12"/>
        </w:rPr>
        <w:object>
          <v:shape id="_x0000_i1049" o:spt="75" type="#_x0000_t75" style="height:19.15pt;width:36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t>。</w:t>
      </w:r>
    </w:p>
    <w:p w14:paraId="29D0525F">
      <w:pPr>
        <w:rPr>
          <w:rFonts w:hint="eastAsia"/>
        </w:rPr>
      </w:pPr>
      <w:r>
        <w:t>定义</w:t>
      </w:r>
      <w:r>
        <w:rPr>
          <w:rFonts w:hint="eastAsia"/>
          <w:position w:val="-12"/>
        </w:rPr>
        <w:object>
          <v:shape id="_x0000_i1050" o:spt="75" type="#_x0000_t75" style="height:18.25pt;width:27.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t>为链路</w:t>
      </w:r>
      <w:r>
        <w:rPr>
          <w:rFonts w:hint="eastAsia"/>
          <w:position w:val="-6"/>
        </w:rPr>
        <w:object>
          <v:shape id="_x0000_i1051" o:spt="75" type="#_x0000_t75" style="height:10.95pt;width:9.1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t>在时隙</w:t>
      </w:r>
      <w:r>
        <w:rPr>
          <w:rFonts w:hint="eastAsia"/>
          <w:position w:val="-6"/>
        </w:rPr>
        <w:object>
          <v:shape id="_x0000_i1052" o:spt="75" type="#_x0000_t75" style="height:11.85pt;width:6.8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t>开始时的排队积压量（Queue Backlog）。其离散时间演进模型表示为：</w:t>
      </w:r>
    </w:p>
    <w:p w14:paraId="37F4BDA9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4"/>
        </w:rPr>
        <w:object>
          <v:shape id="_x0000_i1053" o:spt="75" type="#_x0000_t75" style="height:20.05pt;width:189.1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</w:p>
    <w:p w14:paraId="431CCA3F">
      <w:pPr>
        <w:rPr>
          <w:rFonts w:hint="eastAsia"/>
        </w:rPr>
      </w:pPr>
      <w:r>
        <w:t>其中，</w:t>
      </w:r>
      <w:r>
        <w:rPr>
          <w:rFonts w:hint="eastAsia"/>
          <w:position w:val="-12"/>
        </w:rPr>
        <w:object>
          <v:shape id="_x0000_i1054" o:spt="75" type="#_x0000_t75" style="height:18.25pt;width:27.8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t>为链路</w:t>
      </w:r>
      <w:r>
        <w:rPr>
          <w:rFonts w:hint="eastAsia"/>
          <w:position w:val="-6"/>
        </w:rPr>
        <w:object>
          <v:shape id="_x0000_i1055" o:spt="75" type="#_x0000_t75" style="height:10.95pt;width:9.1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t>的瞬时服务速率（受限于</w:t>
      </w:r>
      <w:r>
        <w:rPr>
          <w:rFonts w:hint="eastAsia"/>
          <w:position w:val="-12"/>
        </w:rPr>
        <w:object>
          <v:shape id="_x0000_i1056" o:spt="75" type="#_x0000_t75" style="height:18.25pt;width:27.8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t>）；</w:t>
      </w:r>
      <w:r>
        <w:rPr>
          <w:rFonts w:hint="eastAsia"/>
          <w:position w:val="-12"/>
        </w:rPr>
        <w:object>
          <v:shape id="_x0000_i1057" o:spt="75" type="#_x0000_t75" style="height:18.25pt;width:27.8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t>为该时隙内注入链路</w:t>
      </w:r>
      <w:r>
        <w:rPr>
          <w:rFonts w:hint="eastAsia"/>
          <w:position w:val="-6"/>
        </w:rPr>
        <w:object>
          <v:shape id="_x0000_i1058" o:spt="75" type="#_x0000_t75" style="height:10.95pt;width:9.1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t>的总聚合流量，可表示为：</w:t>
      </w:r>
    </w:p>
    <w:p w14:paraId="4287A229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32"/>
        </w:rPr>
        <w:object>
          <v:shape id="_x0000_i1059" o:spt="75" type="#_x0000_t75" style="height:29.15pt;width:169.9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</w:p>
    <w:p w14:paraId="6864DF7A">
      <w:pPr>
        <w:rPr>
          <w:rFonts w:hint="eastAsia"/>
        </w:rPr>
      </w:pPr>
      <w:r>
        <w:t>为保证大规模网络的绝对稳定，防止由于微爆流（Micro-bursts）引发节点内存溢出瘫痪，网络中的所有队列必须满足强稳定条件（Strong Stability）：</w:t>
      </w:r>
    </w:p>
    <w:p w14:paraId="00DE2A55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28"/>
        </w:rPr>
        <w:object>
          <v:shape id="_x0000_i1060" o:spt="75" type="#_x0000_t75" style="height:34.2pt;width:163.1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</w:p>
    <w:p w14:paraId="660ABEA4">
      <w:pPr>
        <w:rPr>
          <w:rFonts w:hint="eastAsia"/>
        </w:rPr>
      </w:pPr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08986">
      <w:pPr>
        <w:rPr>
          <w:rFonts w:hint="eastAsia"/>
          <w:b/>
          <w:bCs/>
        </w:rPr>
      </w:pPr>
      <w:r>
        <w:rPr>
          <w:b/>
          <w:bCs/>
        </w:rPr>
        <w:t>III. Lyapunov-Guided Differentiated Traffic Engineering(基于李雅普诺夫的差异化流量工程)</w:t>
      </w:r>
    </w:p>
    <w:p w14:paraId="57E8A6DB">
      <w:pPr>
        <w:rPr>
          <w:rFonts w:hint="eastAsia"/>
          <w:b/>
          <w:bCs/>
        </w:rPr>
      </w:pPr>
      <w:r>
        <w:rPr>
          <w:b/>
          <w:bCs/>
        </w:rPr>
        <w:t>A. Drift-Plus-Penalty Formulation (漂移加惩罚架构)</w:t>
      </w:r>
    </w:p>
    <w:p w14:paraId="1355FCD9">
      <w:pPr>
        <w:rPr>
          <w:rFonts w:hint="eastAsia"/>
        </w:rPr>
      </w:pPr>
      <w:r>
        <w:t>定义二次李雅普诺夫函数</w:t>
      </w:r>
      <w:r>
        <w:rPr>
          <w:rFonts w:hint="eastAsia"/>
          <w:position w:val="-10"/>
        </w:rPr>
        <w:object>
          <v:shape id="_x0000_i1062" o:spt="75" type="#_x0000_t75" style="height:15.95pt;width:22.8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2" DrawAspect="Content" ObjectID="_1468075761" r:id="rId76">
            <o:LockedField>false</o:LockedField>
          </o:OLEObject>
        </w:object>
      </w:r>
      <w:r>
        <w:t>作为全网拥塞状态的标量测度：</w:t>
      </w:r>
    </w:p>
    <w:p w14:paraId="64D1C9C7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30"/>
        </w:rPr>
        <w:object>
          <v:shape id="_x0000_i1063" o:spt="75" type="#_x0000_t75" style="height:34.2pt;width:93.8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3" DrawAspect="Content" ObjectID="_1468075762" r:id="rId78">
            <o:LockedField>false</o:LockedField>
          </o:OLEObject>
        </w:object>
      </w:r>
    </w:p>
    <w:p w14:paraId="5F36B2EE">
      <w:pPr>
        <w:rPr>
          <w:rFonts w:hint="eastAsia"/>
        </w:rPr>
      </w:pPr>
      <w:r>
        <w:t>定义单步条件李雅普诺夫漂移（Conditional Lyapunov Drift）为</w:t>
      </w:r>
      <w:r>
        <w:rPr>
          <w:rFonts w:hint="eastAsia"/>
        </w:rPr>
        <w:t>：</w:t>
      </w:r>
    </w:p>
    <w:p w14:paraId="507B33EB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4"/>
        </w:rPr>
        <w:object>
          <v:shape id="_x0000_i1064" o:spt="75" type="#_x0000_t75" style="height:20.05pt;width:149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4" DrawAspect="Content" ObjectID="_1468075763" r:id="rId80">
            <o:LockedField>false</o:LockedField>
          </o:OLEObject>
        </w:object>
      </w:r>
    </w:p>
    <w:p w14:paraId="2183A7F2">
      <w:pPr>
        <w:rPr>
          <w:rFonts w:hint="eastAsia"/>
        </w:rPr>
      </w:pPr>
      <w:r>
        <w:t>为实现差异化的传输性能优化，构建加权端到端延迟惩罚函数</w:t>
      </w:r>
      <w:r>
        <w:rPr>
          <w:rFonts w:hint="eastAsia"/>
          <w:position w:val="-10"/>
        </w:rPr>
        <w:object>
          <v:shape id="_x0000_i1065" o:spt="75" type="#_x0000_t75" style="height:15.95pt;width:24.1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5" DrawAspect="Content" ObjectID="_1468075764" r:id="rId82">
            <o:LockedField>false</o:LockedField>
          </o:OLEObject>
        </w:object>
      </w:r>
      <w:r>
        <w:t>：</w:t>
      </w:r>
    </w:p>
    <w:p w14:paraId="52CEC621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32"/>
        </w:rPr>
        <w:object>
          <v:shape id="_x0000_i1066" o:spt="75" type="#_x0000_t75" style="height:29.15pt;width:149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6" DrawAspect="Content" ObjectID="_1468075765" r:id="rId84">
            <o:LockedField>false</o:LockedField>
          </o:OLEObject>
        </w:object>
      </w:r>
    </w:p>
    <w:p w14:paraId="6193CA4F">
      <w:pPr>
        <w:rPr>
          <w:rFonts w:hint="eastAsia"/>
        </w:rPr>
      </w:pPr>
      <w:r>
        <w:t>其中</w:t>
      </w:r>
      <w:r>
        <w:rPr>
          <w:rFonts w:hint="eastAsia"/>
          <w:position w:val="-14"/>
        </w:rPr>
        <w:object>
          <v:shape id="_x0000_i1067" o:spt="75" type="#_x0000_t75" style="height:19.15pt;width:30.1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7" DrawAspect="Content" ObjectID="_1468075766" r:id="rId86">
            <o:LockedField>false</o:LockedField>
          </o:OLEObject>
        </w:object>
      </w:r>
      <w:r>
        <w:t>为路径</w:t>
      </w:r>
      <w:r>
        <w:rPr>
          <w:rFonts w:hint="eastAsia"/>
          <w:position w:val="-10"/>
        </w:rPr>
        <w:object>
          <v:shape id="_x0000_i1068" o:spt="75" type="#_x0000_t75" style="height:13.2pt;width:11.8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8" DrawAspect="Content" ObjectID="_1468075767" r:id="rId88">
            <o:LockedField>false</o:LockedField>
          </o:OLEObject>
        </w:object>
      </w:r>
      <w:r>
        <w:t>的物理传播延迟。</w:t>
      </w:r>
    </w:p>
    <w:p w14:paraId="7DC52F3B">
      <w:pPr>
        <w:rPr>
          <w:rFonts w:hint="eastAsia"/>
        </w:rPr>
      </w:pPr>
      <w:r>
        <w:t>根据Lyapunov优化定理，最小化长期时间平均惩罚且维持队列稳定的目标，等价于在每个时隙</w:t>
      </w:r>
      <w:r>
        <w:rPr>
          <w:rFonts w:hint="eastAsia"/>
          <w:position w:val="-6"/>
        </w:rPr>
        <w:object>
          <v:shape id="_x0000_i1069" o:spt="75" type="#_x0000_t75" style="height:11.85pt;width:6.8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9" DrawAspect="Content" ObjectID="_1468075768" r:id="rId90">
            <o:LockedField>false</o:LockedField>
          </o:OLEObject>
        </w:object>
      </w:r>
      <w:r>
        <w:t>最小化“漂移加惩罚”（Drift-Plus-Penalty）的上界：</w:t>
      </w:r>
    </w:p>
    <w:p w14:paraId="10B1F847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4"/>
        </w:rPr>
        <w:object>
          <v:shape id="_x0000_i1070" o:spt="75" type="#_x0000_t75" style="height:20.05pt;width:162.2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0" DrawAspect="Content" ObjectID="_1468075769" r:id="rId92">
            <o:LockedField>false</o:LockedField>
          </o:OLEObject>
        </w:object>
      </w:r>
    </w:p>
    <w:p w14:paraId="168E696D">
      <w:pPr>
        <w:rPr>
          <w:rFonts w:hint="eastAsia"/>
        </w:rPr>
      </w:pPr>
      <w:r>
        <w:t>其中控制参数</w:t>
      </w:r>
      <w:r>
        <w:rPr>
          <w:rFonts w:hint="eastAsia"/>
          <w:position w:val="-6"/>
        </w:rPr>
        <w:object>
          <v:shape id="_x0000_i1071" o:spt="75" type="#_x0000_t75" style="height:14.15pt;width:30.1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1" DrawAspect="Content" ObjectID="_1468075770" r:id="rId94">
            <o:LockedField>false</o:LockedField>
          </o:OLEObject>
        </w:object>
      </w:r>
      <w:r>
        <w:t>用于调节延迟优化与拥塞避免之间的权衡。</w:t>
      </w:r>
    </w:p>
    <w:p w14:paraId="706F45D3">
      <w:pPr>
        <w:rPr>
          <w:rFonts w:hint="eastAsia"/>
          <w:b/>
          <w:bCs/>
        </w:rPr>
      </w:pPr>
      <w:r>
        <w:rPr>
          <w:b/>
          <w:bCs/>
        </w:rPr>
        <w:t>B. Differentiated Upper Bound Derivation(差异化上界推导)</w:t>
      </w:r>
    </w:p>
    <w:p w14:paraId="77D69793">
      <w:pPr>
        <w:rPr>
          <w:rFonts w:hint="eastAsia"/>
        </w:rPr>
      </w:pPr>
      <w:r>
        <w:t>对队列演进方程两边平方并进行放缩，可将</w:t>
      </w:r>
      <w:r>
        <w:rPr>
          <w:rFonts w:hint="eastAsia"/>
          <w:position w:val="-10"/>
        </w:rPr>
        <w:object>
          <v:shape id="_x0000_i1072" o:spt="75" type="#_x0000_t75" style="height:15.95pt;width:24.1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2" DrawAspect="Content" ObjectID="_1468075771" r:id="rId96">
            <o:LockedField>false</o:LockedField>
          </o:OLEObject>
        </w:object>
      </w:r>
      <w:r>
        <w:t>的上界展开。为引入业务的拥塞敏感度区分，我们将聚合到达率</w:t>
      </w:r>
      <w:r>
        <w:rPr>
          <w:rFonts w:hint="eastAsia"/>
          <w:position w:val="-12"/>
        </w:rPr>
        <w:object>
          <v:shape id="_x0000_i1073" o:spt="75" type="#_x0000_t75" style="height:18.25pt;width:27.8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3" DrawAspect="Content" ObjectID="_1468075772" r:id="rId98">
            <o:LockedField>false</o:LockedField>
          </o:OLEObject>
        </w:object>
      </w:r>
      <w:r>
        <w:t>中的受控流量项替换为按</w:t>
      </w:r>
      <w:r>
        <w:rPr>
          <w:rFonts w:hint="eastAsia"/>
          <w:position w:val="-12"/>
        </w:rPr>
        <w:object>
          <v:shape id="_x0000_i1074" o:spt="75" type="#_x0000_t75" style="height:18.25pt;width:14.1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4" DrawAspect="Content" ObjectID="_1468075773" r:id="rId100">
            <o:LockedField>false</o:LockedField>
          </o:OLEObject>
        </w:object>
      </w:r>
      <w:r>
        <w:t>加权的虚拟到达率，从而推导出在给定队列状态</w:t>
      </w:r>
      <w:r>
        <w:rPr>
          <w:rFonts w:hint="eastAsia"/>
          <w:position w:val="-10"/>
        </w:rPr>
        <w:object>
          <v:shape id="_x0000_i1075" o:spt="75" type="#_x0000_t75" style="height:15.95pt;width:25.0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5" DrawAspect="Content" ObjectID="_1468075774" r:id="rId102">
            <o:LockedField>false</o:LockedField>
          </o:OLEObject>
        </w:object>
      </w:r>
      <w:r>
        <w:t>下，需最小化的目标函数上界结构为：</w:t>
      </w:r>
    </w:p>
    <w:p w14:paraId="7E81E034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34"/>
        </w:rPr>
        <w:object>
          <v:shape id="_x0000_i1076" o:spt="75" type="#_x0000_t75" style="height:40.1pt;width:298.9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6" DrawAspect="Content" ObjectID="_1468075775" r:id="rId104">
            <o:LockedField>false</o:LockedField>
          </o:OLEObject>
        </w:object>
      </w:r>
    </w:p>
    <w:p w14:paraId="57832A31">
      <w:pPr>
        <w:rPr>
          <w:rFonts w:hint="eastAsia"/>
        </w:rPr>
      </w:pPr>
      <w:r>
        <w:t>其中</w:t>
      </w:r>
      <w:r>
        <w:rPr>
          <w:rFonts w:hint="eastAsia"/>
          <w:position w:val="-4"/>
        </w:rPr>
        <w:object>
          <v:shape id="_x0000_i1077" o:spt="75" type="#_x0000_t75" style="height:11.85pt;width:10.9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6">
            <o:LockedField>false</o:LockedField>
          </o:OLEObject>
        </w:object>
      </w:r>
      <w:r>
        <w:t>为系统常数界。</w:t>
      </w:r>
    </w:p>
    <w:p w14:paraId="5DF68B04">
      <w:pPr>
        <w:rPr>
          <w:rFonts w:hint="eastAsia"/>
          <w:b/>
          <w:bCs/>
        </w:rPr>
      </w:pPr>
      <w:r>
        <w:rPr>
          <w:b/>
          <w:bCs/>
        </w:rPr>
        <w:t>C. Real-time Optimization Sub-problem(实时优化子问题解耦)</w:t>
      </w:r>
    </w:p>
    <w:p w14:paraId="564003E6">
      <w:pPr>
        <w:rPr>
          <w:rFonts w:hint="eastAsia"/>
        </w:rPr>
      </w:pPr>
      <w:r>
        <w:t>利用网络流的拓扑可加性，交换上述公式的求和次序，将针对链路</w:t>
      </w:r>
      <w:r>
        <w:rPr>
          <w:rFonts w:hint="eastAsia"/>
          <w:position w:val="-6"/>
        </w:rPr>
        <w:object>
          <v:shape id="_x0000_i1078" o:spt="75" type="#_x0000_t75" style="height:10.95pt;width:9.1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8" DrawAspect="Content" ObjectID="_1468075777" r:id="rId108">
            <o:LockedField>false</o:LockedField>
          </o:OLEObject>
        </w:object>
      </w:r>
      <w:r>
        <w:t>的状态聚合，转化为针对备选路径</w:t>
      </w:r>
      <w:r>
        <w:rPr>
          <w:rFonts w:hint="eastAsia"/>
          <w:position w:val="-10"/>
        </w:rPr>
        <w:object>
          <v:shape id="_x0000_i1079" o:spt="75" type="#_x0000_t75" style="height:13.2pt;width:11.8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9" DrawAspect="Content" ObjectID="_1468075778" r:id="rId110">
            <o:LockedField>false</o:LockedField>
          </o:OLEObject>
        </w:object>
      </w:r>
      <w:r>
        <w:t>的端到端状态聚合。剔除与决策变量无关的常数项后，集中式控制器在每一个调度时隙</w:t>
      </w:r>
      <w:r>
        <w:rPr>
          <w:rFonts w:hint="eastAsia"/>
          <w:position w:val="-6"/>
        </w:rPr>
        <w:object>
          <v:shape id="_x0000_i1080" o:spt="75" type="#_x0000_t75" style="height:11.85pt;width:6.8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0" DrawAspect="Content" ObjectID="_1468075779" r:id="rId112">
            <o:LockedField>false</o:LockedField>
          </o:OLEObject>
        </w:object>
      </w:r>
      <w:r>
        <w:t>求解的连续线性规划（Linear Programming, LP）模型正式确立如下：</w:t>
      </w:r>
    </w:p>
    <w:p w14:paraId="70E27A86">
      <w:pPr>
        <w:rPr>
          <w:rFonts w:hint="eastAsia"/>
        </w:rPr>
      </w:pPr>
      <w:r>
        <w:rPr>
          <w:b/>
          <w:bCs/>
        </w:rPr>
        <w:t>Objective Function:</w:t>
      </w:r>
    </w:p>
    <w:p w14:paraId="3B835D11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66"/>
        </w:rPr>
        <w:object>
          <v:shape id="_x0000_i1081" o:spt="75" type="#_x0000_t75" style="height:55.15pt;width:231.0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1" DrawAspect="Content" ObjectID="_1468075780" r:id="rId114">
            <o:LockedField>false</o:LockedField>
          </o:OLEObject>
        </w:object>
      </w:r>
    </w:p>
    <w:p w14:paraId="39962EB7">
      <w:pPr>
        <w:rPr>
          <w:rFonts w:hint="eastAsia"/>
        </w:rPr>
      </w:pPr>
      <w:r>
        <w:rPr>
          <w:b/>
          <w:bCs/>
        </w:rPr>
        <w:t>Subject to:</w:t>
      </w:r>
    </w:p>
    <w:p w14:paraId="518AFEA4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Demand Satisfaction (流量守恒约束):</w:t>
      </w:r>
    </w:p>
    <w:p w14:paraId="5C57C373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32"/>
        </w:rPr>
        <w:object>
          <v:shape id="_x0000_i1082" o:spt="75" type="#_x0000_t75" style="height:29.15pt;width:130.8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6">
            <o:LockedField>false</o:LockedField>
          </o:OLEObject>
        </w:object>
      </w:r>
    </w:p>
    <w:p w14:paraId="2DF205DE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Strict Capacity and Slicing Constraint (硬容量与切片约束):</w:t>
      </w:r>
    </w:p>
    <w:p w14:paraId="38D7EF7D">
      <w:pPr>
        <w:rPr>
          <w:rFonts w:hint="eastAsia"/>
        </w:rPr>
      </w:pPr>
      <w:r>
        <w:t>为防止低优大流在局部链路导致严重的资源抢占，引入链路利用率上限</w:t>
      </w:r>
      <w:r>
        <w:rPr>
          <w:rFonts w:hint="eastAsia"/>
          <w:position w:val="-10"/>
        </w:rPr>
        <w:object>
          <v:shape id="_x0000_i1083" o:spt="75" type="#_x0000_t75" style="height:15.95pt;width:45.1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8">
            <o:LockedField>false</o:LockedField>
          </o:OLEObject>
        </w:object>
      </w:r>
      <w:r>
        <w:t>：</w:t>
      </w:r>
    </w:p>
    <w:p w14:paraId="4F0B6015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32"/>
        </w:rPr>
        <w:object>
          <v:shape id="_x0000_i1084" o:spt="75" type="#_x0000_t75" style="height:29.15pt;width:242.9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4" DrawAspect="Content" ObjectID="_1468075783" r:id="rId120">
            <o:LockedField>false</o:LockedField>
          </o:OLEObject>
        </w:object>
      </w:r>
    </w:p>
    <w:p w14:paraId="0271DF06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Non-negativity (决策非负约束):</w:t>
      </w:r>
    </w:p>
    <w:p w14:paraId="6585910A">
      <w:pPr>
        <w:pStyle w:val="33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position w:val="-12"/>
        </w:rPr>
        <w:object>
          <v:shape id="_x0000_i1085" o:spt="75" type="#_x0000_t75" style="height:19.15pt;width:135.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5" DrawAspect="Content" ObjectID="_1468075784" r:id="rId122">
            <o:LockedField>false</o:LockedField>
          </o:OLEObject>
        </w:object>
      </w:r>
    </w:p>
    <w:p w14:paraId="41E9F3F2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652889"/>
    <w:multiLevelType w:val="multilevel"/>
    <w:tmpl w:val="05652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AAD2F64"/>
    <w:multiLevelType w:val="multilevel"/>
    <w:tmpl w:val="6AAD2F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468"/>
    <w:rsid w:val="001E7D4A"/>
    <w:rsid w:val="0038517B"/>
    <w:rsid w:val="004C3210"/>
    <w:rsid w:val="0062655C"/>
    <w:rsid w:val="00630A93"/>
    <w:rsid w:val="006C63C2"/>
    <w:rsid w:val="009102C7"/>
    <w:rsid w:val="00924447"/>
    <w:rsid w:val="00981FB0"/>
    <w:rsid w:val="009E7F25"/>
    <w:rsid w:val="00AD3756"/>
    <w:rsid w:val="00AE0468"/>
    <w:rsid w:val="00C36D6F"/>
    <w:rsid w:val="00C5698B"/>
    <w:rsid w:val="00C80590"/>
    <w:rsid w:val="00CB0FAB"/>
    <w:rsid w:val="00E443C6"/>
    <w:rsid w:val="00EA1CE3"/>
    <w:rsid w:val="00F32887"/>
    <w:rsid w:val="00F353BB"/>
    <w:rsid w:val="00FC1035"/>
    <w:rsid w:val="00FF6A3C"/>
    <w:rsid w:val="4558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MTDisplayEquation"/>
    <w:basedOn w:val="1"/>
    <w:next w:val="1"/>
    <w:link w:val="34"/>
    <w:qFormat/>
    <w:uiPriority w:val="0"/>
    <w:pPr>
      <w:tabs>
        <w:tab w:val="center" w:pos="4160"/>
        <w:tab w:val="right" w:pos="8300"/>
      </w:tabs>
    </w:pPr>
  </w:style>
  <w:style w:type="character" w:customStyle="1" w:styleId="34">
    <w:name w:val="MTDisplayEquation 字符"/>
    <w:basedOn w:val="14"/>
    <w:link w:val="3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5" Type="http://schemas.openxmlformats.org/officeDocument/2006/relationships/fontTable" Target="fontTable.xml"/><Relationship Id="rId124" Type="http://schemas.openxmlformats.org/officeDocument/2006/relationships/numbering" Target="numbering.xml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1247</Words>
  <Characters>1736</Characters>
  <Lines>25</Lines>
  <Paragraphs>7</Paragraphs>
  <TotalTime>2</TotalTime>
  <ScaleCrop>false</ScaleCrop>
  <LinksUpToDate>false</LinksUpToDate>
  <CharactersWithSpaces>1803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2026-04-29T02:55:00Z</dcterms:created>
  <dc:creator>欣冉 白</dc:creator>
  <cp:lastModifiedBy>白欣冉(计算机与通信工程学院M202521697)</cp:lastModifiedBy>
  <dcterms:modified xsi:type="dcterms:W3CDTF">2026-06-04T01:26:28Z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eyJoZGlkIjoiMmRhOTIwM2ViMjRmMTZmYWI1YzFlMDYzNGQxYTNhMjYiLCJ1c2VySWQiOiIxNzE2MjM1NjY1In0=</vt:lpwstr>
  </property>
  <property fmtid="{D5CDD505-2E9C-101B-9397-08002B2CF9AE}" pid="3" name="KSOProductBuildVer">
    <vt:lpwstr>2052-12.1.0.23542</vt:lpwstr>
  </property>
  <property fmtid="{D5CDD505-2E9C-101B-9397-08002B2CF9AE}" pid="4" name="ICV">
    <vt:lpwstr>2A8076F42CFF49BDADCC54EF76E58E95_12</vt:lpwstr>
  </property>
</Properties>
</file>