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BC1B" w14:textId="77777777" w:rsidR="006F61CE" w:rsidRDefault="00054894" w:rsidP="009055CE">
      <w:pPr>
        <w:pStyle w:val="Heading1"/>
      </w:pPr>
      <w:bookmarkStart w:id="0" w:name="_Toc314665722"/>
      <w:r w:rsidRPr="00F663DF">
        <w:t>Overview</w:t>
      </w:r>
      <w:bookmarkEnd w:id="0"/>
    </w:p>
    <w:p w14:paraId="43E0BCB9" w14:textId="77777777" w:rsidR="00023C79" w:rsidRDefault="00B649CE" w:rsidP="00B649CE">
      <w:r>
        <w:t>This procedure is triggered by a</w:t>
      </w:r>
      <w:r w:rsidR="00023C79">
        <w:t xml:space="preserve"> request</w:t>
      </w:r>
      <w:r>
        <w:t xml:space="preserve"> from</w:t>
      </w:r>
      <w:r w:rsidR="00023C79">
        <w:t xml:space="preserve"> FMD or FRO to create a Foreign Bond in </w:t>
      </w:r>
      <w:proofErr w:type="spellStart"/>
      <w:r w:rsidR="00023C79">
        <w:t>Findur</w:t>
      </w:r>
      <w:proofErr w:type="spellEnd"/>
      <w:r w:rsidR="00023C79">
        <w:t xml:space="preserve">. </w:t>
      </w:r>
      <w:r w:rsidR="00023C79" w:rsidRPr="00C124B7">
        <w:t>Two Operational Assistants are required for this procedure</w:t>
      </w:r>
      <w:r>
        <w:t>: o</w:t>
      </w:r>
      <w:r w:rsidR="00023C79">
        <w:t>ne to create and make sure the bond meets the criteria for a holding instrument</w:t>
      </w:r>
      <w:r>
        <w:t>,</w:t>
      </w:r>
      <w:r w:rsidR="00023C79">
        <w:t xml:space="preserve"> and the other to verify that the information entered is correct.</w:t>
      </w:r>
    </w:p>
    <w:p w14:paraId="43E0BCBA" w14:textId="77777777" w:rsidR="009227AB" w:rsidRDefault="009227AB" w:rsidP="009227AB">
      <w:r>
        <w:t>The same process is applied to the 2WAY CSA bond creation request</w:t>
      </w:r>
      <w:r w:rsidR="001A6226">
        <w:t xml:space="preserve"> for a foreign bond. If the 2WAY CSA dummy security is CAD, this will g</w:t>
      </w:r>
      <w:r w:rsidR="00B2614B">
        <w:t>o</w:t>
      </w:r>
      <w:r w:rsidR="001A6226">
        <w:t xml:space="preserve"> through MDM and does not need to get sent to FRO</w:t>
      </w:r>
      <w:r>
        <w:t>. TASS receives an email from FINP to create a dummy security:</w:t>
      </w:r>
    </w:p>
    <w:p w14:paraId="43E0BCBB" w14:textId="77777777" w:rsidR="009227AB" w:rsidRDefault="009227AB" w:rsidP="009227AB"/>
    <w:p w14:paraId="43E0BCBC" w14:textId="187C098C" w:rsidR="009227AB" w:rsidRPr="0001531A" w:rsidRDefault="009227AB" w:rsidP="009227AB">
      <w:r w:rsidRPr="00DA0C8F">
        <w:rPr>
          <w:noProof/>
        </w:rPr>
        <w:drawing>
          <wp:inline distT="0" distB="0" distL="0" distR="0" wp14:anchorId="43E0BDFF" wp14:editId="43E0BE00">
            <wp:extent cx="4715510" cy="29762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0F6">
        <w:t>15-</w:t>
      </w:r>
    </w:p>
    <w:p w14:paraId="43E0BCBD" w14:textId="77777777" w:rsidR="00023C79" w:rsidRDefault="00023C79" w:rsidP="00023C79">
      <w:r>
        <w:t>For creating other types of instruments</w:t>
      </w:r>
      <w:r w:rsidR="00B649CE">
        <w:t>,</w:t>
      </w:r>
      <w:r>
        <w:t xml:space="preserve"> please refer to the links below:</w:t>
      </w:r>
    </w:p>
    <w:p w14:paraId="43E0BCBE" w14:textId="77777777" w:rsidR="00023C79" w:rsidRPr="00B649CE" w:rsidRDefault="007E550C" w:rsidP="00023C79">
      <w:pPr>
        <w:numPr>
          <w:ilvl w:val="0"/>
          <w:numId w:val="9"/>
        </w:numPr>
        <w:spacing w:after="0" w:line="240" w:lineRule="auto"/>
        <w:ind w:right="0"/>
      </w:pPr>
      <w:hyperlink r:id="rId14" w:history="1">
        <w:r w:rsidR="00023C79" w:rsidRPr="00B649CE">
          <w:rPr>
            <w:rStyle w:val="Hyperlink"/>
          </w:rPr>
          <w:t>Creating a New Global Bond</w:t>
        </w:r>
      </w:hyperlink>
    </w:p>
    <w:p w14:paraId="43E0BCBF" w14:textId="77777777" w:rsidR="00023C79" w:rsidRPr="00B649CE" w:rsidRDefault="007E550C" w:rsidP="00023C79">
      <w:pPr>
        <w:numPr>
          <w:ilvl w:val="0"/>
          <w:numId w:val="9"/>
        </w:numPr>
        <w:spacing w:after="0" w:line="240" w:lineRule="auto"/>
        <w:ind w:right="0"/>
      </w:pPr>
      <w:hyperlink r:id="rId15" w:history="1">
        <w:r w:rsidR="00023C79" w:rsidRPr="00B649CE">
          <w:rPr>
            <w:rStyle w:val="Hyperlink"/>
          </w:rPr>
          <w:t>Creating a Floating Rate Note (FRN)</w:t>
        </w:r>
      </w:hyperlink>
    </w:p>
    <w:p w14:paraId="43E0BCC0" w14:textId="77777777" w:rsidR="00023C79" w:rsidRPr="00B649CE" w:rsidRDefault="007E550C" w:rsidP="00023C79">
      <w:pPr>
        <w:numPr>
          <w:ilvl w:val="0"/>
          <w:numId w:val="9"/>
        </w:numPr>
        <w:spacing w:after="0" w:line="240" w:lineRule="auto"/>
        <w:ind w:right="0"/>
      </w:pPr>
      <w:hyperlink r:id="rId16" w:history="1">
        <w:r w:rsidR="00023C79" w:rsidRPr="00B649CE">
          <w:rPr>
            <w:rStyle w:val="Hyperlink"/>
          </w:rPr>
          <w:t xml:space="preserve">Creating a Fixed or Floating </w:t>
        </w:r>
        <w:proofErr w:type="gramStart"/>
        <w:r w:rsidR="00023C79" w:rsidRPr="00B649CE">
          <w:rPr>
            <w:rStyle w:val="Hyperlink"/>
          </w:rPr>
          <w:t>Medium Term</w:t>
        </w:r>
        <w:proofErr w:type="gramEnd"/>
        <w:r w:rsidR="00023C79" w:rsidRPr="00B649CE">
          <w:rPr>
            <w:rStyle w:val="Hyperlink"/>
          </w:rPr>
          <w:t xml:space="preserve"> Note (MTN or EMTN Program)</w:t>
        </w:r>
      </w:hyperlink>
    </w:p>
    <w:p w14:paraId="43E0BCC1" w14:textId="77777777" w:rsidR="00023C79" w:rsidRPr="00B649CE" w:rsidRDefault="007E550C" w:rsidP="00023C79">
      <w:pPr>
        <w:numPr>
          <w:ilvl w:val="0"/>
          <w:numId w:val="9"/>
        </w:numPr>
        <w:spacing w:after="0" w:line="240" w:lineRule="auto"/>
        <w:ind w:right="0"/>
      </w:pPr>
      <w:hyperlink r:id="rId17" w:history="1">
        <w:r w:rsidR="00023C79" w:rsidRPr="00B649CE">
          <w:rPr>
            <w:rStyle w:val="Hyperlink"/>
          </w:rPr>
          <w:t>Creating a New BIS-MTI Instrument</w:t>
        </w:r>
      </w:hyperlink>
    </w:p>
    <w:p w14:paraId="43E0BCC2" w14:textId="0208FF5E" w:rsidR="00023C79" w:rsidRDefault="00B649CE" w:rsidP="00B649CE">
      <w:pPr>
        <w:pStyle w:val="Heading1"/>
      </w:pPr>
      <w:r>
        <w:t>Procedur</w:t>
      </w:r>
      <w:r w:rsidR="160ADEBD">
        <w:t>e</w:t>
      </w:r>
    </w:p>
    <w:p w14:paraId="43E0BCC3" w14:textId="77777777" w:rsidR="00023C79" w:rsidRDefault="00B649CE" w:rsidP="00B649CE">
      <w:pPr>
        <w:pStyle w:val="NumListdocs"/>
      </w:pPr>
      <w:r>
        <w:t>Ensure that</w:t>
      </w:r>
      <w:r w:rsidR="00023C79">
        <w:t xml:space="preserve"> the email </w:t>
      </w:r>
      <w:r>
        <w:t xml:space="preserve">from FMD or FRO </w:t>
      </w:r>
      <w:r w:rsidR="00023C79">
        <w:t xml:space="preserve">has the </w:t>
      </w:r>
      <w:r w:rsidR="00023C79" w:rsidRPr="000A3217">
        <w:rPr>
          <w:b/>
        </w:rPr>
        <w:t>BBG Description</w:t>
      </w:r>
      <w:r w:rsidR="00023C79">
        <w:t xml:space="preserve"> page and where it will settle (BOE, FRB, CREST)</w:t>
      </w:r>
      <w:r>
        <w:t>.</w:t>
      </w:r>
    </w:p>
    <w:p w14:paraId="43E0BCC4" w14:textId="77777777" w:rsidR="00B649CE" w:rsidRPr="00B649CE" w:rsidRDefault="00B649CE" w:rsidP="00B649CE">
      <w:pPr>
        <w:pStyle w:val="NumListdocs"/>
      </w:pPr>
      <w:r>
        <w:lastRenderedPageBreak/>
        <w:t xml:space="preserve">On the </w:t>
      </w:r>
      <w:r w:rsidRPr="00B649CE">
        <w:rPr>
          <w:b/>
        </w:rPr>
        <w:t>BBG Description</w:t>
      </w:r>
      <w:r>
        <w:t xml:space="preserve"> page</w:t>
      </w:r>
      <w:r w:rsidRPr="00B649CE">
        <w:t>, ensure that the instrument is not one of the following, as trading of these instruments is not permitted.</w:t>
      </w:r>
    </w:p>
    <w:p w14:paraId="43E0BCC5" w14:textId="77777777" w:rsidR="000A3217" w:rsidRPr="00C124B7" w:rsidRDefault="000A3217" w:rsidP="000A3217">
      <w:pPr>
        <w:pStyle w:val="BulletInList"/>
      </w:pPr>
      <w:r w:rsidRPr="00B649CE">
        <w:t>Market</w:t>
      </w:r>
      <w:r w:rsidRPr="00C124B7">
        <w:t xml:space="preserve"> of Issue = PRIV PLACEMENT</w:t>
      </w:r>
    </w:p>
    <w:p w14:paraId="43E0BCC6" w14:textId="77777777" w:rsidR="000A3217" w:rsidRPr="00B649CE" w:rsidRDefault="000A3217" w:rsidP="000A3217">
      <w:pPr>
        <w:pStyle w:val="BulletInList"/>
      </w:pPr>
      <w:r w:rsidRPr="00B649CE">
        <w:t>Collateral Type = SUBORDINATED</w:t>
      </w:r>
    </w:p>
    <w:p w14:paraId="43E0BCC7" w14:textId="77777777" w:rsidR="000A3217" w:rsidRPr="00B649CE" w:rsidRDefault="000A3217" w:rsidP="000A3217">
      <w:pPr>
        <w:pStyle w:val="BulletInList"/>
      </w:pPr>
      <w:r w:rsidRPr="00B649CE">
        <w:t>Collateral Type = JUMBO PFAND BRIEF</w:t>
      </w:r>
    </w:p>
    <w:p w14:paraId="43E0BCC8" w14:textId="77777777" w:rsidR="000A3217" w:rsidRPr="00B649CE" w:rsidRDefault="000A3217" w:rsidP="000A3217">
      <w:pPr>
        <w:pStyle w:val="BulletInList"/>
      </w:pPr>
      <w:r w:rsidRPr="00B649CE">
        <w:t>Calc Type = MULTI-STEP BOND</w:t>
      </w:r>
    </w:p>
    <w:p w14:paraId="43E0BCC9" w14:textId="77777777" w:rsidR="000A3217" w:rsidRPr="00B649CE" w:rsidRDefault="000A3217" w:rsidP="000A3217">
      <w:pPr>
        <w:pStyle w:val="BulletInList"/>
      </w:pPr>
      <w:r w:rsidRPr="00B649CE">
        <w:t xml:space="preserve">US Treasury Notes = </w:t>
      </w:r>
      <w:proofErr w:type="spellStart"/>
      <w:r w:rsidRPr="00B649CE">
        <w:t>Mty</w:t>
      </w:r>
      <w:proofErr w:type="spellEnd"/>
      <w:r w:rsidRPr="00B649CE">
        <w:t>/Refund Type = Callable</w:t>
      </w:r>
    </w:p>
    <w:p w14:paraId="43E0BCCA" w14:textId="77777777" w:rsidR="000A3217" w:rsidRPr="00B649CE" w:rsidRDefault="000A3217" w:rsidP="000A3217">
      <w:pPr>
        <w:pStyle w:val="BulletInList"/>
      </w:pPr>
      <w:r w:rsidRPr="00B649CE">
        <w:t>French OAT = Calc Type = France I/</w:t>
      </w:r>
      <w:proofErr w:type="spellStart"/>
      <w:proofErr w:type="gramStart"/>
      <w:r w:rsidRPr="00B649CE">
        <w:t>L:Street</w:t>
      </w:r>
      <w:proofErr w:type="spellEnd"/>
      <w:proofErr w:type="gramEnd"/>
    </w:p>
    <w:p w14:paraId="43E0BCCB" w14:textId="77777777" w:rsidR="000A3217" w:rsidRPr="00B649CE" w:rsidRDefault="000A3217" w:rsidP="000A3217">
      <w:pPr>
        <w:pStyle w:val="BulletInList"/>
      </w:pPr>
      <w:r w:rsidRPr="00B649CE">
        <w:t>Quarterly bonds</w:t>
      </w:r>
    </w:p>
    <w:p w14:paraId="43E0BCCC" w14:textId="77777777" w:rsidR="000A3217" w:rsidRPr="00B649CE" w:rsidRDefault="000A3217" w:rsidP="000A3217">
      <w:pPr>
        <w:pStyle w:val="BulletInList"/>
      </w:pPr>
      <w:r w:rsidRPr="00B649CE">
        <w:t>Index Linked</w:t>
      </w:r>
    </w:p>
    <w:p w14:paraId="43E0BCCD" w14:textId="77777777" w:rsidR="000A3217" w:rsidRDefault="000A3217" w:rsidP="000A3217">
      <w:pPr>
        <w:pStyle w:val="BulletInList"/>
      </w:pPr>
      <w:r w:rsidRPr="00B649CE">
        <w:t>Callable</w:t>
      </w:r>
      <w:r w:rsidRPr="00C124B7">
        <w:t xml:space="preserve"> Call bonds.</w:t>
      </w:r>
    </w:p>
    <w:p w14:paraId="43E0BCCE" w14:textId="77777777" w:rsidR="000A3217" w:rsidRDefault="00B649CE" w:rsidP="00B649CE">
      <w:pPr>
        <w:pStyle w:val="BulletInList"/>
      </w:pPr>
      <w:r>
        <w:t>Calc Type (1) Odd Coupon Method</w:t>
      </w:r>
      <w:r w:rsidR="000A3217">
        <w:br/>
        <w:t>For this type of instrument, if the instrument meets any of the following criteria, perform the associated actions.</w:t>
      </w:r>
    </w:p>
    <w:tbl>
      <w:tblPr>
        <w:tblStyle w:val="TableBasic"/>
        <w:tblW w:w="0" w:type="auto"/>
        <w:tblInd w:w="988" w:type="dxa"/>
        <w:tblLook w:val="04A0" w:firstRow="1" w:lastRow="0" w:firstColumn="1" w:lastColumn="0" w:noHBand="0" w:noVBand="1"/>
      </w:tblPr>
      <w:tblGrid>
        <w:gridCol w:w="2976"/>
        <w:gridCol w:w="4961"/>
      </w:tblGrid>
      <w:tr w:rsidR="000A3217" w14:paraId="43E0BCD1" w14:textId="77777777" w:rsidTr="000A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976" w:type="dxa"/>
          </w:tcPr>
          <w:p w14:paraId="43E0BCCF" w14:textId="77777777" w:rsidR="000A3217" w:rsidRDefault="000A3217" w:rsidP="000A3217">
            <w:r>
              <w:t>Criteria</w:t>
            </w:r>
          </w:p>
        </w:tc>
        <w:tc>
          <w:tcPr>
            <w:tcW w:w="4961" w:type="dxa"/>
          </w:tcPr>
          <w:p w14:paraId="43E0BCD0" w14:textId="77777777" w:rsidR="000A3217" w:rsidRPr="00F07C0A" w:rsidRDefault="000A3217" w:rsidP="000A3217">
            <w:r>
              <w:t>Action</w:t>
            </w:r>
          </w:p>
        </w:tc>
      </w:tr>
      <w:tr w:rsidR="000A3217" w14:paraId="43E0BCD5" w14:textId="77777777" w:rsidTr="000A3217">
        <w:trPr>
          <w:cantSplit/>
        </w:trPr>
        <w:tc>
          <w:tcPr>
            <w:tcW w:w="2976" w:type="dxa"/>
          </w:tcPr>
          <w:p w14:paraId="43E0BCD2" w14:textId="77777777" w:rsidR="000A3217" w:rsidRDefault="000A3217" w:rsidP="000A3217">
            <w:r>
              <w:t xml:space="preserve">Government Guaranteed Securities - </w:t>
            </w:r>
            <w:r w:rsidRPr="00C124B7">
              <w:t>GGS instrument</w:t>
            </w:r>
          </w:p>
        </w:tc>
        <w:tc>
          <w:tcPr>
            <w:tcW w:w="4961" w:type="dxa"/>
          </w:tcPr>
          <w:p w14:paraId="43E0BCD3" w14:textId="77777777" w:rsidR="000A3217" w:rsidRDefault="000A3217" w:rsidP="000A3217">
            <w:r w:rsidRPr="00F07C0A">
              <w:t xml:space="preserve">Retrieve the </w:t>
            </w:r>
            <w:r w:rsidRPr="000A3217">
              <w:rPr>
                <w:b/>
              </w:rPr>
              <w:t>Prospectus</w:t>
            </w:r>
            <w:r w:rsidRPr="00F07C0A">
              <w:t xml:space="preserve"> and provide it to the FRO Analyst before entering the bond in FINDUR</w:t>
            </w:r>
            <w:r>
              <w:t>.</w:t>
            </w:r>
          </w:p>
          <w:p w14:paraId="43E0BCD4" w14:textId="77777777" w:rsidR="000A3217" w:rsidRPr="000A3217" w:rsidRDefault="000A3217" w:rsidP="000A3217">
            <w:pPr>
              <w:rPr>
                <w:lang w:val="en-US"/>
              </w:rPr>
            </w:pPr>
            <w:r w:rsidRPr="00F07C0A">
              <w:t xml:space="preserve">The </w:t>
            </w:r>
            <w:r>
              <w:t>n</w:t>
            </w:r>
            <w:r w:rsidRPr="00F07C0A">
              <w:t xml:space="preserve">aming format for GGS legal entities </w:t>
            </w:r>
            <w:r>
              <w:t>should be</w:t>
            </w:r>
            <w:r w:rsidRPr="00F07C0A">
              <w:t xml:space="preserve"> </w:t>
            </w:r>
            <w:r w:rsidRPr="000A3217">
              <w:rPr>
                <w:b/>
              </w:rPr>
              <w:t>GGS-</w:t>
            </w:r>
            <w:proofErr w:type="spellStart"/>
            <w:r w:rsidRPr="000A3217">
              <w:rPr>
                <w:b/>
              </w:rPr>
              <w:t>xxxx</w:t>
            </w:r>
            <w:proofErr w:type="spellEnd"/>
            <w:r w:rsidRPr="00F07C0A">
              <w:t xml:space="preserve">, </w:t>
            </w:r>
            <w:r>
              <w:t>such as</w:t>
            </w:r>
            <w:r w:rsidRPr="00F07C0A">
              <w:t xml:space="preserve"> GGS-CBAUST</w:t>
            </w:r>
            <w:r>
              <w:t>.</w:t>
            </w:r>
          </w:p>
        </w:tc>
      </w:tr>
      <w:tr w:rsidR="000A3217" w14:paraId="43E0BCE0" w14:textId="77777777" w:rsidTr="000A3217">
        <w:trPr>
          <w:cantSplit/>
        </w:trPr>
        <w:tc>
          <w:tcPr>
            <w:tcW w:w="2976" w:type="dxa"/>
          </w:tcPr>
          <w:p w14:paraId="43E0BCD6" w14:textId="77777777" w:rsidR="000A3217" w:rsidRDefault="000A3217" w:rsidP="000A3217">
            <w:r w:rsidRPr="00C124B7">
              <w:t>Odd Coupon Method</w:t>
            </w:r>
          </w:p>
        </w:tc>
        <w:tc>
          <w:tcPr>
            <w:tcW w:w="4961" w:type="dxa"/>
          </w:tcPr>
          <w:p w14:paraId="43E0BCD7" w14:textId="77777777" w:rsidR="000A3217" w:rsidRDefault="000A3217" w:rsidP="000A3217">
            <w:r w:rsidRPr="00C124B7">
              <w:t>Verify</w:t>
            </w:r>
            <w:r>
              <w:t xml:space="preserve"> with a FRO Analyst</w:t>
            </w:r>
            <w:r w:rsidRPr="00C124B7">
              <w:t xml:space="preserve"> that the following information on the </w:t>
            </w:r>
            <w:r w:rsidRPr="00C124B7">
              <w:rPr>
                <w:b/>
              </w:rPr>
              <w:t>Bloomberg Security Description</w:t>
            </w:r>
            <w:r w:rsidRPr="00C124B7">
              <w:t xml:space="preserve"> matches the </w:t>
            </w:r>
            <w:r w:rsidRPr="00C124B7">
              <w:rPr>
                <w:b/>
              </w:rPr>
              <w:t>Prospectus</w:t>
            </w:r>
            <w:r w:rsidRPr="00C124B7">
              <w:t>:</w:t>
            </w:r>
          </w:p>
          <w:p w14:paraId="43E0BCD8" w14:textId="77777777" w:rsidR="000A3217" w:rsidRPr="00C124B7" w:rsidRDefault="000A3217" w:rsidP="000A3217">
            <w:pPr>
              <w:pStyle w:val="Bullet"/>
            </w:pPr>
            <w:r w:rsidRPr="00C124B7">
              <w:t>Maturity date</w:t>
            </w:r>
          </w:p>
          <w:p w14:paraId="43E0BCD9" w14:textId="77777777" w:rsidR="000A3217" w:rsidRPr="00C124B7" w:rsidRDefault="000A3217" w:rsidP="000A3217">
            <w:pPr>
              <w:pStyle w:val="Bullet"/>
            </w:pPr>
            <w:r w:rsidRPr="00C124B7">
              <w:t>Coupon size</w:t>
            </w:r>
          </w:p>
          <w:p w14:paraId="43E0BCDA" w14:textId="77777777" w:rsidR="000A3217" w:rsidRPr="00C124B7" w:rsidRDefault="000A3217" w:rsidP="000A3217">
            <w:pPr>
              <w:pStyle w:val="Bullet"/>
            </w:pPr>
            <w:r w:rsidRPr="00C124B7">
              <w:t>Coupon Frequency</w:t>
            </w:r>
          </w:p>
          <w:p w14:paraId="43E0BCDB" w14:textId="77777777" w:rsidR="000A3217" w:rsidRPr="00C124B7" w:rsidRDefault="000A3217" w:rsidP="000A3217">
            <w:pPr>
              <w:pStyle w:val="Bullet"/>
            </w:pPr>
            <w:r w:rsidRPr="00C124B7">
              <w:t>Interest Accrual Date</w:t>
            </w:r>
          </w:p>
          <w:p w14:paraId="43E0BCDC" w14:textId="77777777" w:rsidR="000A3217" w:rsidRPr="00C124B7" w:rsidRDefault="000A3217" w:rsidP="000A3217">
            <w:pPr>
              <w:pStyle w:val="Bullet"/>
            </w:pPr>
            <w:r w:rsidRPr="00C124B7">
              <w:t>Coupon Dates per Bloomberg Cash Flow Schedule</w:t>
            </w:r>
          </w:p>
          <w:p w14:paraId="43E0BCDD" w14:textId="77777777" w:rsidR="000A3217" w:rsidRPr="00C124B7" w:rsidRDefault="000A3217" w:rsidP="000A3217">
            <w:pPr>
              <w:pStyle w:val="Bullet"/>
            </w:pPr>
            <w:r w:rsidRPr="00C124B7">
              <w:t>Issue Amount Outstanding</w:t>
            </w:r>
          </w:p>
          <w:p w14:paraId="43E0BCDE" w14:textId="77777777" w:rsidR="000A3217" w:rsidRPr="00C124B7" w:rsidRDefault="000A3217" w:rsidP="000A3217">
            <w:pPr>
              <w:pStyle w:val="Bullet"/>
            </w:pPr>
            <w:r w:rsidRPr="00C124B7">
              <w:t>Business Day conventions</w:t>
            </w:r>
          </w:p>
          <w:p w14:paraId="43E0BCDF" w14:textId="77777777" w:rsidR="000A3217" w:rsidRDefault="000A3217" w:rsidP="000A3217">
            <w:pPr>
              <w:pStyle w:val="Bullet"/>
            </w:pPr>
            <w:r w:rsidRPr="00C124B7">
              <w:t>Yield Basis conventions</w:t>
            </w:r>
          </w:p>
        </w:tc>
      </w:tr>
      <w:tr w:rsidR="000A3217" w14:paraId="43E0BCE3" w14:textId="77777777" w:rsidTr="000A3217">
        <w:trPr>
          <w:cantSplit/>
        </w:trPr>
        <w:tc>
          <w:tcPr>
            <w:tcW w:w="2976" w:type="dxa"/>
          </w:tcPr>
          <w:p w14:paraId="43E0BCE1" w14:textId="77777777" w:rsidR="000A3217" w:rsidRDefault="000A3217" w:rsidP="000A3217">
            <w:r w:rsidRPr="00C124B7">
              <w:t>Sovereign Bonds with DTC Settlement</w:t>
            </w:r>
          </w:p>
        </w:tc>
        <w:tc>
          <w:tcPr>
            <w:tcW w:w="4961" w:type="dxa"/>
          </w:tcPr>
          <w:p w14:paraId="43E0BCE2" w14:textId="77777777" w:rsidR="000A3217" w:rsidRDefault="000A3217" w:rsidP="000A3217">
            <w:r>
              <w:t>V</w:t>
            </w:r>
            <w:r w:rsidRPr="00C124B7">
              <w:t xml:space="preserve">erify </w:t>
            </w:r>
            <w:r>
              <w:t>with a FRO Analyst</w:t>
            </w:r>
            <w:r w:rsidRPr="00C124B7">
              <w:t xml:space="preserve"> on a case-by-case basis</w:t>
            </w:r>
            <w:r>
              <w:t>.</w:t>
            </w:r>
          </w:p>
        </w:tc>
      </w:tr>
      <w:tr w:rsidR="000A3217" w14:paraId="43E0BCE6" w14:textId="77777777" w:rsidTr="000A3217">
        <w:trPr>
          <w:cantSplit/>
        </w:trPr>
        <w:tc>
          <w:tcPr>
            <w:tcW w:w="2976" w:type="dxa"/>
          </w:tcPr>
          <w:p w14:paraId="43E0BCE4" w14:textId="77777777" w:rsidR="000A3217" w:rsidRDefault="000A3217" w:rsidP="000A3217">
            <w:r w:rsidRPr="00C124B7">
              <w:lastRenderedPageBreak/>
              <w:t>French Bonds with DTC Settlement</w:t>
            </w:r>
          </w:p>
        </w:tc>
        <w:tc>
          <w:tcPr>
            <w:tcW w:w="4961" w:type="dxa"/>
          </w:tcPr>
          <w:p w14:paraId="43E0BCE5" w14:textId="77777777" w:rsidR="000A3217" w:rsidRDefault="000A3217" w:rsidP="000A3217">
            <w:r>
              <w:t>V</w:t>
            </w:r>
            <w:r w:rsidRPr="00C124B7">
              <w:t xml:space="preserve">erify </w:t>
            </w:r>
            <w:r>
              <w:t>with a FRO Analyst</w:t>
            </w:r>
            <w:r w:rsidRPr="00C124B7">
              <w:t xml:space="preserve"> on a case-by-case basis</w:t>
            </w:r>
            <w:r>
              <w:t>.</w:t>
            </w:r>
          </w:p>
        </w:tc>
      </w:tr>
    </w:tbl>
    <w:p w14:paraId="43E0BCE7" w14:textId="77777777" w:rsidR="00023C79" w:rsidRDefault="000A3217" w:rsidP="00023C79">
      <w:pPr>
        <w:pStyle w:val="NumListdocs"/>
      </w:pPr>
      <w:r>
        <w:t>Save</w:t>
      </w:r>
      <w:r w:rsidR="00023C79">
        <w:t xml:space="preserve"> the</w:t>
      </w:r>
      <w:r w:rsidR="00B649CE">
        <w:t xml:space="preserve"> following</w:t>
      </w:r>
      <w:r w:rsidR="00023C79">
        <w:t xml:space="preserve"> BBG print screens</w:t>
      </w:r>
      <w:r>
        <w:t>:</w:t>
      </w:r>
    </w:p>
    <w:p w14:paraId="43E0BCE8" w14:textId="77777777" w:rsidR="00B649CE" w:rsidRDefault="00B649CE" w:rsidP="00381320">
      <w:pPr>
        <w:pStyle w:val="BulletInList"/>
      </w:pPr>
      <w:r>
        <w:t>BBG Description page</w:t>
      </w:r>
    </w:p>
    <w:p w14:paraId="43E0BCE9" w14:textId="77777777" w:rsidR="00023C79" w:rsidRDefault="00023C79" w:rsidP="00381320">
      <w:pPr>
        <w:pStyle w:val="BulletInList"/>
      </w:pPr>
      <w:r>
        <w:t>BBG Cashflow</w:t>
      </w:r>
    </w:p>
    <w:p w14:paraId="43E0BCEA" w14:textId="77777777" w:rsidR="00023C79" w:rsidRDefault="00023C79" w:rsidP="00381320">
      <w:pPr>
        <w:pStyle w:val="BulletInList"/>
      </w:pPr>
      <w:r>
        <w:t>BBG BXT fake trade ticket</w:t>
      </w:r>
      <w:r w:rsidR="00381320">
        <w:t xml:space="preserve"> with the following details:</w:t>
      </w:r>
    </w:p>
    <w:p w14:paraId="43E0BCEB" w14:textId="77777777" w:rsidR="00023C79" w:rsidRDefault="00023C79" w:rsidP="00381320">
      <w:pPr>
        <w:pStyle w:val="BulletInList"/>
        <w:tabs>
          <w:tab w:val="clear" w:pos="993"/>
          <w:tab w:val="num" w:pos="1505"/>
        </w:tabs>
        <w:ind w:left="1505"/>
      </w:pPr>
      <w:r>
        <w:t>BUY 25MM</w:t>
      </w:r>
    </w:p>
    <w:p w14:paraId="43E0BCEC" w14:textId="77777777" w:rsidR="00023C79" w:rsidRDefault="00023C79" w:rsidP="00381320">
      <w:pPr>
        <w:pStyle w:val="BulletInList"/>
        <w:tabs>
          <w:tab w:val="clear" w:pos="993"/>
          <w:tab w:val="num" w:pos="1505"/>
        </w:tabs>
        <w:ind w:left="1505"/>
      </w:pPr>
      <w:r>
        <w:t>Price 100</w:t>
      </w:r>
    </w:p>
    <w:p w14:paraId="43E0BCED" w14:textId="77777777" w:rsidR="0028049B" w:rsidRDefault="0028049B" w:rsidP="00381320">
      <w:pPr>
        <w:pStyle w:val="BulletInList"/>
        <w:tabs>
          <w:tab w:val="clear" w:pos="993"/>
          <w:tab w:val="num" w:pos="1505"/>
        </w:tabs>
        <w:ind w:left="1505"/>
      </w:pPr>
      <w:r>
        <w:t>If the Accrued is showing “0.00” change the settlement date to a later date so that there is some accrued interest.</w:t>
      </w:r>
    </w:p>
    <w:p w14:paraId="43E0BCEE" w14:textId="77777777" w:rsidR="00023C79" w:rsidRDefault="00023C79" w:rsidP="00381320">
      <w:pPr>
        <w:ind w:left="720"/>
        <w:rPr>
          <w:noProof/>
        </w:rPr>
      </w:pPr>
      <w:r w:rsidRPr="00AF5268">
        <w:rPr>
          <w:noProof/>
        </w:rPr>
        <w:drawing>
          <wp:inline distT="0" distB="0" distL="0" distR="0" wp14:anchorId="43E0BE01" wp14:editId="43E0BE02">
            <wp:extent cx="4114800" cy="2473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BCEF" w14:textId="77777777" w:rsidR="00381320" w:rsidRDefault="00023C79" w:rsidP="00381320">
      <w:pPr>
        <w:pStyle w:val="NumListdocs"/>
        <w:rPr>
          <w:rFonts w:eastAsia="Calibri"/>
        </w:rPr>
      </w:pPr>
      <w:r>
        <w:rPr>
          <w:noProof/>
        </w:rPr>
        <w:t xml:space="preserve">Open the </w:t>
      </w:r>
      <w:r w:rsidRPr="00381320">
        <w:rPr>
          <w:b/>
          <w:noProof/>
        </w:rPr>
        <w:t>Issuer Document</w:t>
      </w:r>
      <w:r w:rsidR="00381320">
        <w:rPr>
          <w:noProof/>
        </w:rPr>
        <w:t>.</w:t>
      </w:r>
      <w:r w:rsidR="00381320">
        <w:rPr>
          <w:noProof/>
        </w:rPr>
        <w:br/>
      </w:r>
      <w:r w:rsidR="00381320" w:rsidRPr="00381320">
        <w:rPr>
          <w:rStyle w:val="NoSpacingChar"/>
        </w:rPr>
        <w:t xml:space="preserve">Path: </w:t>
      </w:r>
      <w:r w:rsidRPr="00381320">
        <w:rPr>
          <w:rStyle w:val="NoSpacingChar"/>
        </w:rPr>
        <w:t>R:</w:t>
      </w:r>
      <w:r w:rsidR="00381320" w:rsidRPr="00381320">
        <w:rPr>
          <w:rStyle w:val="NoSpacingChar"/>
        </w:rPr>
        <w:t>\</w:t>
      </w:r>
      <w:r w:rsidRPr="00381320">
        <w:rPr>
          <w:rStyle w:val="NoSpacingChar"/>
        </w:rPr>
        <w:t>scu</w:t>
      </w:r>
      <w:r w:rsidR="00381320" w:rsidRPr="00381320">
        <w:rPr>
          <w:rStyle w:val="NoSpacingChar"/>
        </w:rPr>
        <w:t>\</w:t>
      </w:r>
      <w:r w:rsidRPr="00381320">
        <w:rPr>
          <w:rStyle w:val="NoSpacingChar"/>
        </w:rPr>
        <w:t>tass</w:t>
      </w:r>
      <w:r w:rsidR="00381320" w:rsidRPr="00381320">
        <w:rPr>
          <w:rStyle w:val="NoSpacingChar"/>
        </w:rPr>
        <w:t>\</w:t>
      </w:r>
      <w:r w:rsidRPr="00381320">
        <w:rPr>
          <w:rStyle w:val="NoSpacingChar"/>
        </w:rPr>
        <w:t>MiddleOffice</w:t>
      </w:r>
      <w:r w:rsidR="00381320" w:rsidRPr="00381320">
        <w:rPr>
          <w:rStyle w:val="NoSpacingChar"/>
        </w:rPr>
        <w:t>\F</w:t>
      </w:r>
      <w:r w:rsidRPr="00381320">
        <w:rPr>
          <w:rStyle w:val="NoSpacingChar"/>
        </w:rPr>
        <w:t>INDUR</w:t>
      </w:r>
      <w:r w:rsidR="00381320" w:rsidRPr="00381320">
        <w:rPr>
          <w:rStyle w:val="NoSpacingChar"/>
        </w:rPr>
        <w:t>\Findur – ALL Foreign Bonds\</w:t>
      </w:r>
      <w:proofErr w:type="spellStart"/>
      <w:r w:rsidRPr="00381320">
        <w:rPr>
          <w:rStyle w:val="NoSpacingChar"/>
        </w:rPr>
        <w:t>Issuer_Document_TASS</w:t>
      </w:r>
      <w:proofErr w:type="spellEnd"/>
      <w:r w:rsidR="00381320">
        <w:rPr>
          <w:rStyle w:val="NoSpacingChar"/>
        </w:rPr>
        <w:br/>
      </w:r>
      <w:r w:rsidRPr="007D6DBA">
        <w:rPr>
          <w:rFonts w:eastAsia="Calibri"/>
          <w:i/>
        </w:rPr>
        <w:t>This document was created and maintained by FRO. You will use this document to enter/verify certain fields in the setup of the instrument.</w:t>
      </w:r>
      <w:r w:rsidRPr="00381320">
        <w:rPr>
          <w:rFonts w:eastAsia="Calibri"/>
        </w:rPr>
        <w:t xml:space="preserve"> </w:t>
      </w:r>
    </w:p>
    <w:p w14:paraId="43E0BCF0" w14:textId="77777777" w:rsidR="00023C79" w:rsidRPr="00381320" w:rsidRDefault="00023C79" w:rsidP="00381320">
      <w:pPr>
        <w:pStyle w:val="NumListdocs"/>
        <w:rPr>
          <w:rFonts w:eastAsia="Calibri"/>
        </w:rPr>
      </w:pPr>
      <w:r w:rsidRPr="00381320">
        <w:rPr>
          <w:rFonts w:eastAsia="Calibri"/>
        </w:rPr>
        <w:t>If the bond is issued by a new issuer that is not currently in the holdings, notify FRO and XFA. FRO will update the Issuer Document.</w:t>
      </w:r>
    </w:p>
    <w:p w14:paraId="43E0BCF1" w14:textId="77777777" w:rsidR="00023C79" w:rsidRPr="00381320" w:rsidRDefault="00381320" w:rsidP="00381320">
      <w:pPr>
        <w:pStyle w:val="NumListdocs"/>
        <w:rPr>
          <w:rFonts w:eastAsiaTheme="minorHAnsi"/>
        </w:rPr>
      </w:pPr>
      <w:r>
        <w:rPr>
          <w:rFonts w:eastAsia="Calibri"/>
        </w:rPr>
        <w:t>Open the</w:t>
      </w:r>
      <w:r w:rsidR="00023C79">
        <w:rPr>
          <w:rFonts w:eastAsia="Calibri"/>
        </w:rPr>
        <w:t xml:space="preserve"> </w:t>
      </w:r>
      <w:r w:rsidRPr="00381320">
        <w:rPr>
          <w:rFonts w:eastAsia="Calibri"/>
          <w:b/>
        </w:rPr>
        <w:t>New Bond Template</w:t>
      </w:r>
      <w:r w:rsidR="00023C79">
        <w:rPr>
          <w:rFonts w:eastAsia="Calibri"/>
        </w:rPr>
        <w:t>.</w:t>
      </w:r>
      <w:r w:rsidRPr="00381320">
        <w:rPr>
          <w:rFonts w:eastAsia="Calibri"/>
        </w:rPr>
        <w:br/>
      </w:r>
      <w:r w:rsidRPr="00381320">
        <w:rPr>
          <w:rStyle w:val="NoSpacingChar"/>
        </w:rPr>
        <w:t xml:space="preserve">Path: </w:t>
      </w:r>
      <w:r w:rsidR="00023C79" w:rsidRPr="00381320">
        <w:rPr>
          <w:rStyle w:val="NoSpacingChar"/>
        </w:rPr>
        <w:t>R:</w:t>
      </w:r>
      <w:r w:rsidRPr="00381320">
        <w:rPr>
          <w:rStyle w:val="NoSpacingChar"/>
        </w:rPr>
        <w:t>\</w:t>
      </w:r>
      <w:r w:rsidR="00023C79" w:rsidRPr="00381320">
        <w:rPr>
          <w:rStyle w:val="NoSpacingChar"/>
        </w:rPr>
        <w:t>scu</w:t>
      </w:r>
      <w:r w:rsidRPr="00381320">
        <w:rPr>
          <w:rStyle w:val="NoSpacingChar"/>
        </w:rPr>
        <w:t>\</w:t>
      </w:r>
      <w:r w:rsidR="00023C79" w:rsidRPr="00381320">
        <w:rPr>
          <w:rStyle w:val="NoSpacingChar"/>
        </w:rPr>
        <w:t>tass</w:t>
      </w:r>
      <w:r w:rsidRPr="00381320">
        <w:rPr>
          <w:rStyle w:val="NoSpacingChar"/>
        </w:rPr>
        <w:t>\</w:t>
      </w:r>
      <w:r w:rsidR="00023C79" w:rsidRPr="00381320">
        <w:rPr>
          <w:rStyle w:val="NoSpacingChar"/>
        </w:rPr>
        <w:t>MiddleOffice</w:t>
      </w:r>
      <w:r w:rsidRPr="00381320">
        <w:rPr>
          <w:rStyle w:val="NoSpacingChar"/>
        </w:rPr>
        <w:t>\</w:t>
      </w:r>
      <w:r w:rsidR="00023C79" w:rsidRPr="00381320">
        <w:rPr>
          <w:rStyle w:val="NoSpacingChar"/>
        </w:rPr>
        <w:t>FINDUR</w:t>
      </w:r>
      <w:r w:rsidRPr="00381320">
        <w:rPr>
          <w:rStyle w:val="NoSpacingChar"/>
        </w:rPr>
        <w:t>\</w:t>
      </w:r>
      <w:r w:rsidR="00023C79" w:rsidRPr="00381320">
        <w:rPr>
          <w:rStyle w:val="NoSpacingChar"/>
        </w:rPr>
        <w:t>Findur – ALL Foreign Bonds</w:t>
      </w:r>
      <w:r w:rsidRPr="00381320">
        <w:rPr>
          <w:rStyle w:val="NoSpacingChar"/>
        </w:rPr>
        <w:t>\</w:t>
      </w:r>
      <w:r w:rsidR="00023C79" w:rsidRPr="00381320">
        <w:rPr>
          <w:rStyle w:val="NoSpacingChar"/>
        </w:rPr>
        <w:t>New Bond TEMPLATE</w:t>
      </w:r>
      <w:r w:rsidRPr="00381320">
        <w:rPr>
          <w:rStyle w:val="NoSpacingChar"/>
        </w:rPr>
        <w:t>.</w:t>
      </w:r>
    </w:p>
    <w:p w14:paraId="43E0BCF2" w14:textId="77777777" w:rsidR="003534BB" w:rsidRDefault="00381320" w:rsidP="00381320">
      <w:pPr>
        <w:pStyle w:val="NumListdocs"/>
        <w:rPr>
          <w:rFonts w:eastAsia="Calibri"/>
        </w:rPr>
      </w:pPr>
      <w:r>
        <w:rPr>
          <w:rFonts w:eastAsia="Calibri"/>
        </w:rPr>
        <w:t xml:space="preserve">Use </w:t>
      </w:r>
      <w:r w:rsidRPr="00381320">
        <w:rPr>
          <w:rFonts w:eastAsia="Calibri"/>
          <w:b/>
        </w:rPr>
        <w:t>Save As</w:t>
      </w:r>
      <w:r>
        <w:rPr>
          <w:rFonts w:eastAsia="Calibri"/>
        </w:rPr>
        <w:t xml:space="preserve"> </w:t>
      </w:r>
      <w:r w:rsidRPr="00381320">
        <w:rPr>
          <w:rFonts w:eastAsia="Calibri"/>
        </w:rPr>
        <w:t>(to not overwrite the template)</w:t>
      </w:r>
      <w:r>
        <w:rPr>
          <w:rFonts w:eastAsia="Calibri"/>
        </w:rPr>
        <w:t xml:space="preserve"> to s</w:t>
      </w:r>
      <w:r w:rsidRPr="00381320">
        <w:rPr>
          <w:rFonts w:eastAsia="Calibri"/>
        </w:rPr>
        <w:t xml:space="preserve">ave </w:t>
      </w:r>
      <w:r>
        <w:rPr>
          <w:rFonts w:eastAsia="Calibri"/>
        </w:rPr>
        <w:t>the template</w:t>
      </w:r>
      <w:r w:rsidRPr="00381320">
        <w:rPr>
          <w:rFonts w:eastAsia="Calibri"/>
        </w:rPr>
        <w:t xml:space="preserve"> as </w:t>
      </w:r>
      <w:r w:rsidR="00023C79" w:rsidRPr="00381320">
        <w:rPr>
          <w:rFonts w:eastAsia="Calibri"/>
          <w:b/>
        </w:rPr>
        <w:t>ISIN_INS</w:t>
      </w:r>
      <w:r w:rsidRPr="00381320">
        <w:rPr>
          <w:rFonts w:eastAsia="Calibri"/>
          <w:b/>
        </w:rPr>
        <w:t>&lt;##&gt;</w:t>
      </w:r>
      <w:r w:rsidR="00023C79" w:rsidRPr="00381320">
        <w:rPr>
          <w:rFonts w:eastAsia="Calibri"/>
          <w:b/>
        </w:rPr>
        <w:t>_MMDDYYYY</w:t>
      </w:r>
      <w:r w:rsidRPr="00381320">
        <w:rPr>
          <w:rFonts w:eastAsia="Calibri"/>
        </w:rPr>
        <w:t xml:space="preserve">, where </w:t>
      </w:r>
      <w:r w:rsidRPr="00381320">
        <w:rPr>
          <w:rFonts w:eastAsia="Calibri"/>
          <w:b/>
        </w:rPr>
        <w:t>&lt;##&gt;</w:t>
      </w:r>
      <w:r w:rsidRPr="00381320">
        <w:rPr>
          <w:rFonts w:eastAsia="Calibri"/>
        </w:rPr>
        <w:t xml:space="preserve"> represents the instrument number after it is created</w:t>
      </w:r>
      <w:r w:rsidR="003534BB">
        <w:rPr>
          <w:rFonts w:eastAsia="Calibri"/>
        </w:rPr>
        <w:t xml:space="preserve"> and the date (</w:t>
      </w:r>
      <w:r w:rsidR="003534BB" w:rsidRPr="00381320">
        <w:rPr>
          <w:rFonts w:eastAsia="Calibri"/>
          <w:b/>
        </w:rPr>
        <w:t>MMDDYYYY</w:t>
      </w:r>
      <w:r w:rsidR="003534BB">
        <w:rPr>
          <w:rFonts w:eastAsia="Calibri"/>
          <w:b/>
        </w:rPr>
        <w:t>)</w:t>
      </w:r>
      <w:r w:rsidR="003534BB">
        <w:rPr>
          <w:rFonts w:eastAsia="Calibri"/>
        </w:rPr>
        <w:t xml:space="preserve"> is the maturity of the instrument</w:t>
      </w:r>
      <w:r>
        <w:rPr>
          <w:rFonts w:eastAsia="Calibri"/>
        </w:rPr>
        <w:t>.</w:t>
      </w:r>
    </w:p>
    <w:p w14:paraId="43E0BCF3" w14:textId="77777777" w:rsidR="00023C79" w:rsidRPr="00381320" w:rsidRDefault="003534BB" w:rsidP="003534BB">
      <w:pPr>
        <w:pStyle w:val="NumListdocs"/>
        <w:numPr>
          <w:ilvl w:val="0"/>
          <w:numId w:val="0"/>
        </w:numPr>
        <w:ind w:left="720"/>
        <w:rPr>
          <w:rFonts w:eastAsia="Calibri"/>
        </w:rPr>
      </w:pPr>
      <w:r>
        <w:rPr>
          <w:rFonts w:eastAsia="Calibri"/>
        </w:rPr>
        <w:lastRenderedPageBreak/>
        <w:t xml:space="preserve"> (ex. </w:t>
      </w:r>
      <w:r w:rsidRPr="003534BB">
        <w:rPr>
          <w:rFonts w:eastAsia="Calibri"/>
        </w:rPr>
        <w:t>XS2023679843_INS131287_09062029</w:t>
      </w:r>
      <w:r>
        <w:rPr>
          <w:rFonts w:eastAsia="Calibri"/>
        </w:rPr>
        <w:t>)</w:t>
      </w:r>
      <w:r w:rsidR="00381320" w:rsidRPr="00381320">
        <w:rPr>
          <w:rFonts w:eastAsia="Calibri"/>
        </w:rPr>
        <w:br/>
      </w:r>
      <w:r w:rsidR="00023C79" w:rsidRPr="00C83562">
        <w:rPr>
          <w:rFonts w:eastAsia="Calibri"/>
          <w:i/>
        </w:rPr>
        <w:t>You will use this document to add your print screens</w:t>
      </w:r>
      <w:r w:rsidR="00381320" w:rsidRPr="00C83562">
        <w:rPr>
          <w:rFonts w:eastAsia="Calibri"/>
          <w:i/>
        </w:rPr>
        <w:t>.</w:t>
      </w:r>
    </w:p>
    <w:p w14:paraId="43E0BCF4" w14:textId="77777777" w:rsidR="00381320" w:rsidRPr="00381320" w:rsidRDefault="00023C79" w:rsidP="00023C79">
      <w:pPr>
        <w:pStyle w:val="NumListdocs"/>
        <w:rPr>
          <w:rFonts w:eastAsia="Calibri"/>
        </w:rPr>
      </w:pPr>
      <w:r>
        <w:rPr>
          <w:rFonts w:eastAsia="Calibri"/>
        </w:rPr>
        <w:t xml:space="preserve">Create the bond in </w:t>
      </w:r>
      <w:proofErr w:type="spellStart"/>
      <w:r>
        <w:rPr>
          <w:rFonts w:eastAsia="Calibri"/>
        </w:rPr>
        <w:t>Findur</w:t>
      </w:r>
      <w:proofErr w:type="spellEnd"/>
      <w:r w:rsidR="00381320" w:rsidRPr="00381320">
        <w:rPr>
          <w:rFonts w:eastAsia="Calibri"/>
        </w:rPr>
        <w:t>.</w:t>
      </w:r>
    </w:p>
    <w:p w14:paraId="43E0BCF5" w14:textId="77777777" w:rsidR="00C83562" w:rsidRDefault="00C83562" w:rsidP="00C83562">
      <w:pPr>
        <w:pStyle w:val="NumListdocs"/>
        <w:numPr>
          <w:ilvl w:val="1"/>
          <w:numId w:val="4"/>
        </w:numPr>
        <w:rPr>
          <w:rFonts w:eastAsia="Calibri"/>
        </w:rPr>
      </w:pPr>
      <w:r>
        <w:rPr>
          <w:rFonts w:eastAsia="Calibri"/>
        </w:rPr>
        <w:t>From the email, identify the settlement.</w:t>
      </w:r>
    </w:p>
    <w:p w14:paraId="43E0BCF6" w14:textId="77777777" w:rsidR="00C83562" w:rsidRDefault="00C83562" w:rsidP="00381320">
      <w:pPr>
        <w:pStyle w:val="NumListdocs"/>
        <w:numPr>
          <w:ilvl w:val="1"/>
          <w:numId w:val="4"/>
        </w:numPr>
        <w:rPr>
          <w:rFonts w:eastAsia="Calibri"/>
        </w:rPr>
      </w:pPr>
      <w:r>
        <w:rPr>
          <w:rFonts w:eastAsia="Calibri"/>
        </w:rPr>
        <w:t xml:space="preserve">In the </w:t>
      </w:r>
      <w:r w:rsidRPr="00C83562">
        <w:rPr>
          <w:rFonts w:eastAsia="Calibri"/>
          <w:b/>
        </w:rPr>
        <w:t>BBG DES</w:t>
      </w:r>
      <w:r>
        <w:rPr>
          <w:rFonts w:eastAsia="Calibri"/>
        </w:rPr>
        <w:t xml:space="preserve"> page, find the currency and </w:t>
      </w:r>
      <w:r w:rsidR="00077F23">
        <w:rPr>
          <w:rFonts w:eastAsia="Calibri"/>
        </w:rPr>
        <w:t>BB</w:t>
      </w:r>
      <w:r w:rsidR="000F7F6D">
        <w:rPr>
          <w:rFonts w:eastAsia="Calibri"/>
        </w:rPr>
        <w:t>G</w:t>
      </w:r>
      <w:r w:rsidR="00077F23">
        <w:rPr>
          <w:rFonts w:eastAsia="Calibri"/>
        </w:rPr>
        <w:t xml:space="preserve"> a</w:t>
      </w:r>
      <w:r>
        <w:rPr>
          <w:rFonts w:eastAsia="Calibri"/>
        </w:rPr>
        <w:t>cronym.</w:t>
      </w:r>
    </w:p>
    <w:p w14:paraId="43E0BCF7" w14:textId="77777777" w:rsidR="00C83562" w:rsidRDefault="00C83562" w:rsidP="00381320">
      <w:pPr>
        <w:pStyle w:val="NumListdocs"/>
        <w:numPr>
          <w:ilvl w:val="1"/>
          <w:numId w:val="4"/>
        </w:numPr>
        <w:rPr>
          <w:rFonts w:eastAsia="Calibri"/>
        </w:rPr>
      </w:pPr>
      <w:r>
        <w:rPr>
          <w:rFonts w:eastAsia="Calibri"/>
        </w:rPr>
        <w:t xml:space="preserve">In the </w:t>
      </w:r>
      <w:r w:rsidRPr="00C83562">
        <w:rPr>
          <w:rFonts w:eastAsia="Calibri"/>
          <w:b/>
        </w:rPr>
        <w:t>Issuer Document</w:t>
      </w:r>
      <w:r>
        <w:rPr>
          <w:rFonts w:eastAsia="Calibri"/>
        </w:rPr>
        <w:t xml:space="preserve">, </w:t>
      </w:r>
      <w:r w:rsidR="00077F23">
        <w:rPr>
          <w:rFonts w:eastAsia="Calibri"/>
        </w:rPr>
        <w:t xml:space="preserve">click the tab that applies to the currency, and </w:t>
      </w:r>
      <w:r>
        <w:rPr>
          <w:rFonts w:eastAsia="Calibri"/>
        </w:rPr>
        <w:t>find the BB</w:t>
      </w:r>
      <w:r w:rsidR="000F7F6D">
        <w:rPr>
          <w:rFonts w:eastAsia="Calibri"/>
        </w:rPr>
        <w:t>G</w:t>
      </w:r>
      <w:r>
        <w:rPr>
          <w:rFonts w:eastAsia="Calibri"/>
        </w:rPr>
        <w:t xml:space="preserve"> Acronym to determine the </w:t>
      </w:r>
      <w:r w:rsidR="00077F23">
        <w:rPr>
          <w:rFonts w:eastAsia="Calibri"/>
        </w:rPr>
        <w:t>template</w:t>
      </w:r>
      <w:r>
        <w:rPr>
          <w:rFonts w:eastAsia="Calibri"/>
        </w:rPr>
        <w:t>.</w:t>
      </w:r>
    </w:p>
    <w:p w14:paraId="43E0BCF8" w14:textId="77777777" w:rsidR="00023C79" w:rsidRPr="00C83562" w:rsidRDefault="00023C79" w:rsidP="00023C79">
      <w:pPr>
        <w:rPr>
          <w:noProof/>
        </w:rPr>
      </w:pPr>
      <w:r w:rsidRPr="00AF5268">
        <w:rPr>
          <w:noProof/>
        </w:rPr>
        <w:drawing>
          <wp:inline distT="0" distB="0" distL="0" distR="0" wp14:anchorId="43E0BE03" wp14:editId="43E0BE04">
            <wp:extent cx="5943600" cy="923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BCF9" w14:textId="77777777" w:rsidR="00C83562" w:rsidRPr="00381320" w:rsidRDefault="00C83562" w:rsidP="00C83562">
      <w:pPr>
        <w:pStyle w:val="NumListdocs"/>
        <w:numPr>
          <w:ilvl w:val="1"/>
          <w:numId w:val="4"/>
        </w:numPr>
        <w:rPr>
          <w:rFonts w:eastAsia="Calibri"/>
        </w:rPr>
      </w:pPr>
      <w:r w:rsidRPr="00381320">
        <w:rPr>
          <w:rFonts w:eastAsia="Calibri"/>
        </w:rPr>
        <w:t xml:space="preserve">In </w:t>
      </w:r>
      <w:proofErr w:type="spellStart"/>
      <w:r w:rsidRPr="00381320">
        <w:rPr>
          <w:rFonts w:eastAsia="Calibri"/>
        </w:rPr>
        <w:t>Findur</w:t>
      </w:r>
      <w:proofErr w:type="spellEnd"/>
      <w:r w:rsidRPr="00381320">
        <w:rPr>
          <w:rFonts w:eastAsia="Calibri"/>
        </w:rPr>
        <w:t xml:space="preserve">, navigate to </w:t>
      </w:r>
      <w:r w:rsidRPr="00381320">
        <w:rPr>
          <w:rFonts w:eastAsia="Calibri"/>
          <w:b/>
        </w:rPr>
        <w:t>Securities</w:t>
      </w:r>
      <w:r w:rsidRPr="00381320">
        <w:rPr>
          <w:rFonts w:eastAsia="Calibri"/>
        </w:rPr>
        <w:t xml:space="preserve"> &gt; </w:t>
      </w:r>
      <w:r w:rsidRPr="00381320">
        <w:rPr>
          <w:rFonts w:eastAsia="Calibri"/>
          <w:b/>
        </w:rPr>
        <w:t>Foreign Bonds</w:t>
      </w:r>
      <w:r w:rsidRPr="00381320">
        <w:rPr>
          <w:rFonts w:eastAsia="Calibri"/>
        </w:rPr>
        <w:t xml:space="preserve"> &gt; </w:t>
      </w:r>
      <w:r w:rsidRPr="00381320">
        <w:rPr>
          <w:rFonts w:eastAsia="Calibri"/>
          <w:b/>
        </w:rPr>
        <w:t>BD Templates</w:t>
      </w:r>
      <w:r w:rsidRPr="00381320">
        <w:rPr>
          <w:rFonts w:eastAsia="Calibri"/>
        </w:rPr>
        <w:t xml:space="preserve"> tab</w:t>
      </w:r>
      <w:r>
        <w:rPr>
          <w:rFonts w:eastAsia="Calibri"/>
        </w:rPr>
        <w:t>.</w:t>
      </w:r>
    </w:p>
    <w:p w14:paraId="43E0BCFA" w14:textId="77777777" w:rsidR="00023C79" w:rsidRPr="00923EC7" w:rsidRDefault="00023C79" w:rsidP="00C83562">
      <w:pPr>
        <w:pStyle w:val="NumListdocs"/>
        <w:numPr>
          <w:ilvl w:val="1"/>
          <w:numId w:val="4"/>
        </w:numPr>
        <w:rPr>
          <w:rFonts w:eastAsia="Calibri"/>
        </w:rPr>
      </w:pPr>
      <w:r w:rsidRPr="00923EC7">
        <w:rPr>
          <w:rFonts w:eastAsia="Calibri"/>
        </w:rPr>
        <w:t>Open the appropriate bond template</w:t>
      </w:r>
      <w:r>
        <w:rPr>
          <w:rFonts w:eastAsia="Calibri"/>
          <w:b/>
        </w:rPr>
        <w:t xml:space="preserve"> </w:t>
      </w:r>
      <w:r w:rsidRPr="00923EC7">
        <w:rPr>
          <w:rFonts w:eastAsia="Calibri"/>
          <w:b/>
        </w:rPr>
        <w:t>twice</w:t>
      </w:r>
      <w:r w:rsidRPr="00923EC7">
        <w:rPr>
          <w:rFonts w:eastAsia="Calibri"/>
        </w:rPr>
        <w:t>. Keep one window open for reference and your second window will be used to create your new bond.</w:t>
      </w:r>
    </w:p>
    <w:p w14:paraId="43E0BCFB" w14:textId="77777777" w:rsidR="00023C79" w:rsidRPr="00B42C57" w:rsidRDefault="00023C79" w:rsidP="002223A9">
      <w:pPr>
        <w:pStyle w:val="NumListdocs"/>
        <w:numPr>
          <w:ilvl w:val="1"/>
          <w:numId w:val="4"/>
        </w:numPr>
        <w:rPr>
          <w:i/>
        </w:rPr>
      </w:pPr>
      <w:r w:rsidRPr="002223A9">
        <w:rPr>
          <w:rFonts w:eastAsia="Calibri"/>
        </w:rPr>
        <w:t>On the second window</w:t>
      </w:r>
      <w:r w:rsidR="00C83562" w:rsidRPr="002223A9">
        <w:rPr>
          <w:rFonts w:eastAsia="Calibri"/>
        </w:rPr>
        <w:t>,</w:t>
      </w:r>
      <w:r w:rsidRPr="002223A9">
        <w:rPr>
          <w:rFonts w:eastAsia="Calibri"/>
        </w:rPr>
        <w:t xml:space="preserve"> c</w:t>
      </w:r>
      <w:r w:rsidR="00C83562" w:rsidRPr="002223A9">
        <w:rPr>
          <w:rFonts w:eastAsia="Calibri"/>
        </w:rPr>
        <w:t xml:space="preserve">lick </w:t>
      </w:r>
      <w:r w:rsidR="00C83562" w:rsidRPr="002223A9">
        <w:rPr>
          <w:rFonts w:eastAsia="Calibri"/>
          <w:b/>
        </w:rPr>
        <w:t>File</w:t>
      </w:r>
      <w:r w:rsidR="00C83562" w:rsidRPr="002223A9">
        <w:rPr>
          <w:rFonts w:eastAsia="Calibri"/>
        </w:rPr>
        <w:t xml:space="preserve"> &gt; </w:t>
      </w:r>
      <w:r w:rsidR="00C83562" w:rsidRPr="002223A9">
        <w:rPr>
          <w:rFonts w:eastAsia="Calibri"/>
          <w:b/>
        </w:rPr>
        <w:t>Clear Instrument Number</w:t>
      </w:r>
      <w:r w:rsidR="00C83562" w:rsidRPr="002223A9">
        <w:rPr>
          <w:rFonts w:eastAsia="Calibri"/>
        </w:rPr>
        <w:t>.</w:t>
      </w:r>
      <w:r w:rsidR="002223A9" w:rsidRPr="002223A9">
        <w:rPr>
          <w:rFonts w:eastAsia="Calibri"/>
        </w:rPr>
        <w:br/>
      </w:r>
      <w:r w:rsidRPr="00B42C57">
        <w:rPr>
          <w:i/>
        </w:rPr>
        <w:t>The Instrument Number is cleared, and BOND INPUT appears at the top of the window. The Operational Assistant’s LAN I.D. appears in the Trader ID field.</w:t>
      </w:r>
    </w:p>
    <w:p w14:paraId="43E0BCFC" w14:textId="2850BD7B" w:rsidR="00023C79" w:rsidRPr="00923EC7" w:rsidRDefault="00023C79" w:rsidP="00023C79">
      <w:pPr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43E0BE05" wp14:editId="1883AA9F">
            <wp:extent cx="3218180" cy="1694180"/>
            <wp:effectExtent l="0" t="0" r="1270" b="1270"/>
            <wp:docPr id="13" name="Picture 13" descr="C:\Users\skup\AppData\Local\Temp\SNAGHTML3217e5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9657E6" w:rsidRPr="2D1A29F6">
        <w:rPr>
          <w:rFonts w:ascii="Calibri" w:eastAsia="Calibri" w:hAnsi="Calibri"/>
        </w:rPr>
        <w:t>01-19-2022</w:t>
      </w:r>
    </w:p>
    <w:p w14:paraId="43E0BCFD" w14:textId="282F0FE6" w:rsidR="00023C79" w:rsidRPr="001F31D6" w:rsidRDefault="00023C79" w:rsidP="001F31D6">
      <w:pPr>
        <w:pStyle w:val="NumListdocs"/>
        <w:numPr>
          <w:ilvl w:val="1"/>
          <w:numId w:val="4"/>
        </w:numPr>
      </w:pPr>
      <w:r w:rsidRPr="53CA5F50">
        <w:rPr>
          <w:rFonts w:eastAsia="Calibri"/>
        </w:rPr>
        <w:t xml:space="preserve">On the </w:t>
      </w:r>
      <w:r w:rsidRPr="53CA5F50">
        <w:rPr>
          <w:rFonts w:eastAsia="Calibri"/>
          <w:b/>
          <w:bCs/>
        </w:rPr>
        <w:t>Primary Page</w:t>
      </w:r>
      <w:r w:rsidRPr="53CA5F50">
        <w:rPr>
          <w:rFonts w:eastAsia="Calibri"/>
        </w:rPr>
        <w:t xml:space="preserve"> tab</w:t>
      </w:r>
      <w:r w:rsidR="001F31D6" w:rsidRPr="53CA5F50">
        <w:rPr>
          <w:rFonts w:eastAsia="Calibri"/>
        </w:rPr>
        <w:t>, en</w:t>
      </w:r>
      <w:r w:rsidRPr="53CA5F50">
        <w:rPr>
          <w:rFonts w:eastAsia="Calibri"/>
        </w:rPr>
        <w:t xml:space="preserve">sure the </w:t>
      </w:r>
      <w:r w:rsidRPr="53CA5F50">
        <w:rPr>
          <w:rFonts w:eastAsia="Calibri"/>
          <w:b/>
          <w:bCs/>
        </w:rPr>
        <w:t>Settlement Date</w:t>
      </w:r>
      <w:r w:rsidRPr="53CA5F50">
        <w:rPr>
          <w:rFonts w:eastAsia="Calibri"/>
        </w:rPr>
        <w:t xml:space="preserve"> is </w:t>
      </w:r>
      <w:r w:rsidR="30D17C24" w:rsidRPr="53CA5F50">
        <w:rPr>
          <w:rFonts w:eastAsia="Calibri"/>
        </w:rPr>
        <w:t>consistent</w:t>
      </w:r>
      <w:r w:rsidRPr="53CA5F50">
        <w:rPr>
          <w:rFonts w:eastAsia="Calibri"/>
        </w:rPr>
        <w:t xml:space="preserve"> with the template</w:t>
      </w:r>
      <w:r w:rsidR="00B42C57" w:rsidRPr="53CA5F50">
        <w:rPr>
          <w:rFonts w:eastAsia="Calibri"/>
        </w:rPr>
        <w:t>.</w:t>
      </w:r>
    </w:p>
    <w:p w14:paraId="43E0BCFE" w14:textId="77777777" w:rsidR="001F31D6" w:rsidRPr="009C0CF0" w:rsidRDefault="001F31D6" w:rsidP="001F31D6">
      <w:pPr>
        <w:pStyle w:val="NumListdocs"/>
        <w:numPr>
          <w:ilvl w:val="1"/>
          <w:numId w:val="4"/>
        </w:numPr>
      </w:pPr>
      <w:r>
        <w:rPr>
          <w:rFonts w:eastAsia="Calibri"/>
        </w:rPr>
        <w:t>Enter the following information:</w:t>
      </w:r>
    </w:p>
    <w:tbl>
      <w:tblPr>
        <w:tblStyle w:val="TableBasic"/>
        <w:tblW w:w="9356" w:type="dxa"/>
        <w:tblLayout w:type="fixed"/>
        <w:tblLook w:val="01E0" w:firstRow="1" w:lastRow="1" w:firstColumn="1" w:lastColumn="1" w:noHBand="0" w:noVBand="0"/>
      </w:tblPr>
      <w:tblGrid>
        <w:gridCol w:w="1985"/>
        <w:gridCol w:w="7371"/>
      </w:tblGrid>
      <w:tr w:rsidR="00023C79" w:rsidRPr="00C124B7" w14:paraId="43E0BD01" w14:textId="77777777" w:rsidTr="00C05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985" w:type="dxa"/>
          </w:tcPr>
          <w:p w14:paraId="43E0BCFF" w14:textId="77777777" w:rsidR="00023C79" w:rsidRPr="001F31D6" w:rsidRDefault="00023C79" w:rsidP="004716F5">
            <w:pPr>
              <w:rPr>
                <w:b w:val="0"/>
              </w:rPr>
            </w:pPr>
            <w:r w:rsidRPr="001F31D6">
              <w:t>Field</w:t>
            </w:r>
          </w:p>
        </w:tc>
        <w:tc>
          <w:tcPr>
            <w:tcW w:w="7371" w:type="dxa"/>
          </w:tcPr>
          <w:p w14:paraId="43E0BD00" w14:textId="77777777" w:rsidR="00023C79" w:rsidRPr="001F31D6" w:rsidRDefault="00023C79" w:rsidP="004716F5">
            <w:pPr>
              <w:rPr>
                <w:b w:val="0"/>
              </w:rPr>
            </w:pPr>
            <w:r w:rsidRPr="001F31D6">
              <w:t>Information to Enter</w:t>
            </w:r>
          </w:p>
        </w:tc>
      </w:tr>
      <w:tr w:rsidR="00023C79" w:rsidRPr="00C124B7" w14:paraId="43E0BD04" w14:textId="77777777" w:rsidTr="00C05DB4">
        <w:trPr>
          <w:cantSplit/>
        </w:trPr>
        <w:tc>
          <w:tcPr>
            <w:tcW w:w="1985" w:type="dxa"/>
          </w:tcPr>
          <w:p w14:paraId="43E0BD02" w14:textId="77777777" w:rsidR="00023C79" w:rsidRPr="00C124B7" w:rsidRDefault="00023C79" w:rsidP="004716F5">
            <w:r w:rsidRPr="00C124B7">
              <w:t>Ticker</w:t>
            </w:r>
          </w:p>
        </w:tc>
        <w:tc>
          <w:tcPr>
            <w:tcW w:w="7371" w:type="dxa"/>
          </w:tcPr>
          <w:p w14:paraId="43E0BD03" w14:textId="5682D2E7" w:rsidR="00023C79" w:rsidRPr="00C124B7" w:rsidRDefault="00023C79" w:rsidP="004716F5">
            <w:r w:rsidRPr="00C124B7">
              <w:t xml:space="preserve">BLMBG ACR </w:t>
            </w:r>
            <w:r w:rsidR="005A0D2C">
              <w:t>(</w:t>
            </w:r>
            <w:r w:rsidR="00DE5F6E">
              <w:t>from</w:t>
            </w:r>
            <w:r w:rsidR="005A0D2C">
              <w:t xml:space="preserve"> </w:t>
            </w:r>
            <w:r w:rsidR="00435801">
              <w:t>Bloomberg description</w:t>
            </w:r>
            <w:r w:rsidR="005A0D2C">
              <w:t>)</w:t>
            </w:r>
          </w:p>
        </w:tc>
      </w:tr>
      <w:tr w:rsidR="00023C79" w:rsidRPr="00C124B7" w14:paraId="43E0BD07" w14:textId="77777777" w:rsidTr="00C05DB4">
        <w:trPr>
          <w:cantSplit/>
        </w:trPr>
        <w:tc>
          <w:tcPr>
            <w:tcW w:w="1985" w:type="dxa"/>
          </w:tcPr>
          <w:p w14:paraId="43E0BD05" w14:textId="77777777" w:rsidR="00023C79" w:rsidRPr="00C124B7" w:rsidRDefault="00023C79" w:rsidP="004716F5">
            <w:proofErr w:type="spellStart"/>
            <w:r w:rsidRPr="00C124B7">
              <w:t>Cusip</w:t>
            </w:r>
            <w:proofErr w:type="spellEnd"/>
          </w:p>
        </w:tc>
        <w:tc>
          <w:tcPr>
            <w:tcW w:w="7371" w:type="dxa"/>
          </w:tcPr>
          <w:p w14:paraId="43E0BD06" w14:textId="77777777" w:rsidR="00023C79" w:rsidRPr="00C124B7" w:rsidRDefault="00771D86" w:rsidP="004716F5">
            <w:r>
              <w:t>ALWAYS use CAPITAL letters</w:t>
            </w:r>
            <w:r w:rsidRPr="00C124B7">
              <w:t xml:space="preserve"> </w:t>
            </w:r>
            <w:r w:rsidR="00023C79" w:rsidRPr="00C124B7">
              <w:t>(if there is none, leave blank)</w:t>
            </w:r>
          </w:p>
        </w:tc>
      </w:tr>
      <w:tr w:rsidR="00023C79" w:rsidRPr="00C124B7" w14:paraId="43E0BD0A" w14:textId="77777777" w:rsidTr="00C05DB4">
        <w:trPr>
          <w:cantSplit/>
        </w:trPr>
        <w:tc>
          <w:tcPr>
            <w:tcW w:w="1985" w:type="dxa"/>
          </w:tcPr>
          <w:p w14:paraId="43E0BD08" w14:textId="77777777" w:rsidR="00023C79" w:rsidRPr="00C124B7" w:rsidRDefault="00023C79" w:rsidP="004716F5">
            <w:r w:rsidRPr="00C124B7">
              <w:t>ISIN</w:t>
            </w:r>
          </w:p>
        </w:tc>
        <w:tc>
          <w:tcPr>
            <w:tcW w:w="7371" w:type="dxa"/>
          </w:tcPr>
          <w:p w14:paraId="43E0BD09" w14:textId="77777777" w:rsidR="00023C79" w:rsidRPr="00C124B7" w:rsidRDefault="00771D86" w:rsidP="004716F5">
            <w:r>
              <w:t>ALWAYS use CAPITAL letters</w:t>
            </w:r>
          </w:p>
        </w:tc>
      </w:tr>
      <w:tr w:rsidR="00023C79" w:rsidRPr="00C124B7" w14:paraId="43E0BD14" w14:textId="77777777" w:rsidTr="00C05DB4">
        <w:trPr>
          <w:cantSplit/>
          <w:trHeight w:val="511"/>
        </w:trPr>
        <w:tc>
          <w:tcPr>
            <w:tcW w:w="1985" w:type="dxa"/>
          </w:tcPr>
          <w:p w14:paraId="43E0BD0B" w14:textId="77777777" w:rsidR="00023C79" w:rsidRPr="00C124B7" w:rsidRDefault="00023C79" w:rsidP="004716F5">
            <w:r w:rsidRPr="00C124B7">
              <w:lastRenderedPageBreak/>
              <w:t xml:space="preserve">Book </w:t>
            </w:r>
          </w:p>
          <w:p w14:paraId="43E0BD0C" w14:textId="77777777" w:rsidR="00023C79" w:rsidRPr="00C124B7" w:rsidRDefault="00023C79" w:rsidP="004716F5"/>
        </w:tc>
        <w:tc>
          <w:tcPr>
            <w:tcW w:w="7371" w:type="dxa"/>
          </w:tcPr>
          <w:p w14:paraId="43E0BD0D" w14:textId="77777777" w:rsidR="00023C79" w:rsidRPr="001F31D6" w:rsidRDefault="00023C79" w:rsidP="004716F5">
            <w:r w:rsidRPr="001F31D6">
              <w:t>USD Global bond</w:t>
            </w:r>
            <w:r w:rsidR="001F31D6">
              <w:t>s</w:t>
            </w:r>
            <w:r w:rsidRPr="001F31D6">
              <w:t xml:space="preserve">: </w:t>
            </w:r>
          </w:p>
          <w:p w14:paraId="43E0BD0E" w14:textId="77777777" w:rsidR="00023C79" w:rsidRPr="001F31D6" w:rsidRDefault="001F31D6" w:rsidP="001F31D6">
            <w:pPr>
              <w:pStyle w:val="Bullet"/>
            </w:pPr>
            <w:r>
              <w:t xml:space="preserve">For </w:t>
            </w:r>
            <w:r w:rsidR="00023C79" w:rsidRPr="001F31D6">
              <w:t>BOE</w:t>
            </w:r>
            <w:r>
              <w:t>,</w:t>
            </w:r>
            <w:r w:rsidR="00023C79" w:rsidRPr="001F31D6">
              <w:t xml:space="preserve"> holiday schedule is London-New York-Toronto</w:t>
            </w:r>
          </w:p>
          <w:p w14:paraId="43E0BD0F" w14:textId="77777777" w:rsidR="00023C79" w:rsidRPr="001F31D6" w:rsidRDefault="001F31D6" w:rsidP="001F31D6">
            <w:pPr>
              <w:pStyle w:val="Bullet"/>
            </w:pPr>
            <w:r>
              <w:t xml:space="preserve">For </w:t>
            </w:r>
            <w:r w:rsidR="00023C79" w:rsidRPr="001F31D6">
              <w:t>FRB</w:t>
            </w:r>
            <w:r>
              <w:t>,</w:t>
            </w:r>
            <w:r w:rsidR="00023C79" w:rsidRPr="001F31D6">
              <w:t xml:space="preserve"> holiday schedule is New York- Toronto</w:t>
            </w:r>
          </w:p>
          <w:p w14:paraId="43E0BD10" w14:textId="77777777" w:rsidR="00023C79" w:rsidRPr="001F31D6" w:rsidRDefault="00023C79" w:rsidP="004716F5">
            <w:r w:rsidRPr="001F31D6">
              <w:t>USD Eurobond</w:t>
            </w:r>
            <w:r w:rsidR="001F31D6">
              <w:t>s</w:t>
            </w:r>
            <w:r w:rsidRPr="001F31D6">
              <w:t>:</w:t>
            </w:r>
          </w:p>
          <w:p w14:paraId="43E0BD11" w14:textId="77777777" w:rsidR="00023C79" w:rsidRPr="001F31D6" w:rsidRDefault="00023C79" w:rsidP="001F31D6">
            <w:pPr>
              <w:pStyle w:val="Bullet"/>
            </w:pPr>
            <w:r w:rsidRPr="001F31D6">
              <w:t>Holiday schedule is New York-Toronto-London</w:t>
            </w:r>
          </w:p>
          <w:p w14:paraId="43E0BD12" w14:textId="77777777" w:rsidR="00023C79" w:rsidRPr="001F31D6" w:rsidRDefault="00023C79" w:rsidP="004716F5">
            <w:r w:rsidRPr="001F31D6">
              <w:t>EUR Eurobond</w:t>
            </w:r>
            <w:r w:rsidR="001F31D6">
              <w:t>s</w:t>
            </w:r>
            <w:r w:rsidRPr="001F31D6">
              <w:t>:</w:t>
            </w:r>
          </w:p>
          <w:p w14:paraId="43E0BD13" w14:textId="77777777" w:rsidR="00023C79" w:rsidRPr="00C124B7" w:rsidRDefault="001F31D6" w:rsidP="001F31D6">
            <w:pPr>
              <w:pStyle w:val="Bullet"/>
            </w:pPr>
            <w:r>
              <w:t xml:space="preserve">For </w:t>
            </w:r>
            <w:r w:rsidR="00023C79" w:rsidRPr="001F31D6">
              <w:t>BOE</w:t>
            </w:r>
            <w:r>
              <w:t>,</w:t>
            </w:r>
            <w:r w:rsidR="00023C79" w:rsidRPr="001F31D6">
              <w:t xml:space="preserve"> holiday schedule is London-Target-Toronto</w:t>
            </w:r>
          </w:p>
        </w:tc>
      </w:tr>
      <w:tr w:rsidR="00023C79" w:rsidRPr="00C124B7" w14:paraId="43E0BD1C" w14:textId="77777777" w:rsidTr="00C05DB4">
        <w:trPr>
          <w:cantSplit/>
        </w:trPr>
        <w:tc>
          <w:tcPr>
            <w:tcW w:w="1985" w:type="dxa"/>
          </w:tcPr>
          <w:p w14:paraId="43E0BD15" w14:textId="44DDDAFF" w:rsidR="00023C79" w:rsidRPr="00C124B7" w:rsidRDefault="00023C79" w:rsidP="004716F5">
            <w:r w:rsidRPr="00C124B7">
              <w:t>Issue</w:t>
            </w:r>
            <w:r w:rsidR="001D1818">
              <w:t>r</w:t>
            </w:r>
          </w:p>
        </w:tc>
        <w:tc>
          <w:tcPr>
            <w:tcW w:w="7371" w:type="dxa"/>
          </w:tcPr>
          <w:p w14:paraId="43E0BD16" w14:textId="77777777" w:rsidR="001F31D6" w:rsidRDefault="00023C79" w:rsidP="001F31D6">
            <w:r w:rsidRPr="00C124B7">
              <w:t>Issuer (from Issuer document</w:t>
            </w:r>
            <w:r w:rsidR="001F31D6">
              <w:t xml:space="preserve">). </w:t>
            </w:r>
          </w:p>
          <w:p w14:paraId="43E0BD17" w14:textId="77777777" w:rsidR="00771D86" w:rsidRDefault="00023C79" w:rsidP="001F31D6">
            <w:r w:rsidRPr="001F31D6">
              <w:t xml:space="preserve">If the legal entity’s name is not in the pick list, </w:t>
            </w:r>
            <w:r w:rsidR="001F31D6">
              <w:t>c</w:t>
            </w:r>
            <w:r w:rsidR="001F31D6" w:rsidRPr="00C124B7">
              <w:t>heck with the trader to ensure that the entity is an EFA counterparty.</w:t>
            </w:r>
          </w:p>
          <w:p w14:paraId="43E0BD18" w14:textId="77777777" w:rsidR="00771D86" w:rsidRDefault="001F31D6" w:rsidP="001F31D6">
            <w:r w:rsidRPr="00C124B7">
              <w:t xml:space="preserve">If the </w:t>
            </w:r>
            <w:r w:rsidRPr="001F31D6">
              <w:t xml:space="preserve">entity is an EFA counterparty, contact FRO, and they will update </w:t>
            </w:r>
            <w:proofErr w:type="spellStart"/>
            <w:r w:rsidRPr="001F31D6">
              <w:t>Findur</w:t>
            </w:r>
            <w:proofErr w:type="spellEnd"/>
            <w:r w:rsidRPr="001F31D6">
              <w:t>.</w:t>
            </w:r>
            <w:r w:rsidR="00771D86">
              <w:t xml:space="preserve"> FRO will go into the Reference Manager &gt; click on the entity’s name &gt; select the Business Unit and in the Function(s) box click to insert a checkmark at Issuer.</w:t>
            </w:r>
          </w:p>
          <w:p w14:paraId="43E0BD19" w14:textId="77777777" w:rsidR="00771D86" w:rsidRDefault="00771D86" w:rsidP="007D6D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E0BE07" wp14:editId="43E0BE08">
                      <wp:simplePos x="0" y="0"/>
                      <wp:positionH relativeFrom="column">
                        <wp:posOffset>2606675</wp:posOffset>
                      </wp:positionH>
                      <wp:positionV relativeFrom="paragraph">
                        <wp:posOffset>167640</wp:posOffset>
                      </wp:positionV>
                      <wp:extent cx="1137285" cy="556895"/>
                      <wp:effectExtent l="15875" t="17145" r="8890" b="1651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285" cy="5568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oel="http://schemas.microsoft.com/office/2019/extlst">
                  <w:pict w14:anchorId="4D811CF6">
                    <v:oval id="Oval 3" style="position:absolute;margin-left:205.25pt;margin-top:13.2pt;width:89.55pt;height:4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red" strokeweight="1.25pt" w14:anchorId="6C13B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">
                      <v:fill opacity="0"/>
                    </v:oval>
                  </w:pict>
                </mc:Fallback>
              </mc:AlternateContent>
            </w:r>
            <w:r w:rsidRPr="00280F82">
              <w:rPr>
                <w:b/>
                <w:noProof/>
                <w:color w:val="0000FF"/>
              </w:rPr>
              <w:drawing>
                <wp:inline distT="0" distB="0" distL="0" distR="0" wp14:anchorId="43E0BE09" wp14:editId="43E0BE0A">
                  <wp:extent cx="2828925" cy="2400300"/>
                  <wp:effectExtent l="0" t="0" r="9525" b="0"/>
                  <wp:docPr id="1" name="Picture 1" descr="issu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su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0BD1A" w14:textId="77777777" w:rsidR="00771D86" w:rsidRDefault="00771D86" w:rsidP="001F31D6"/>
          <w:p w14:paraId="43E0BD1B" w14:textId="77777777" w:rsidR="00023C79" w:rsidRPr="00C124B7" w:rsidRDefault="001F31D6" w:rsidP="001F31D6">
            <w:r w:rsidRPr="001F31D6">
              <w:t>If the entity is not an EFA Counterparty, advise FRM, and DO NOT PROCEED.</w:t>
            </w:r>
          </w:p>
        </w:tc>
      </w:tr>
      <w:tr w:rsidR="00023C79" w:rsidRPr="00C124B7" w14:paraId="43E0BD1F" w14:textId="77777777" w:rsidTr="00C05DB4">
        <w:trPr>
          <w:cantSplit/>
        </w:trPr>
        <w:tc>
          <w:tcPr>
            <w:tcW w:w="1985" w:type="dxa"/>
          </w:tcPr>
          <w:p w14:paraId="43E0BD1D" w14:textId="77777777" w:rsidR="00023C79" w:rsidRPr="00C124B7" w:rsidRDefault="00023C79" w:rsidP="004716F5">
            <w:r w:rsidRPr="00C124B7">
              <w:t>Discount Index</w:t>
            </w:r>
          </w:p>
        </w:tc>
        <w:tc>
          <w:tcPr>
            <w:tcW w:w="7371" w:type="dxa"/>
          </w:tcPr>
          <w:p w14:paraId="43E0BD1E" w14:textId="77777777" w:rsidR="00023C79" w:rsidRPr="00C124B7" w:rsidRDefault="001F31D6" w:rsidP="004716F5">
            <w:r>
              <w:t>Index from Issuer Document</w:t>
            </w:r>
          </w:p>
        </w:tc>
      </w:tr>
      <w:tr w:rsidR="00023C79" w:rsidRPr="00C124B7" w14:paraId="43E0BD22" w14:textId="77777777" w:rsidTr="00C05DB4">
        <w:trPr>
          <w:cantSplit/>
        </w:trPr>
        <w:tc>
          <w:tcPr>
            <w:tcW w:w="1985" w:type="dxa"/>
          </w:tcPr>
          <w:p w14:paraId="43E0BD20" w14:textId="77777777" w:rsidR="00023C79" w:rsidRPr="00C124B7" w:rsidRDefault="00023C79" w:rsidP="004716F5">
            <w:r w:rsidRPr="00C124B7">
              <w:t>Start Date</w:t>
            </w:r>
          </w:p>
        </w:tc>
        <w:tc>
          <w:tcPr>
            <w:tcW w:w="7371" w:type="dxa"/>
          </w:tcPr>
          <w:p w14:paraId="43E0BD21" w14:textId="77777777" w:rsidR="00023C79" w:rsidRPr="00C124B7" w:rsidRDefault="00023C79" w:rsidP="004716F5">
            <w:r>
              <w:t>Interest</w:t>
            </w:r>
            <w:r w:rsidRPr="00C124B7">
              <w:t xml:space="preserve"> Accrual Date</w:t>
            </w:r>
          </w:p>
        </w:tc>
      </w:tr>
      <w:tr w:rsidR="00023C79" w:rsidRPr="00C124B7" w14:paraId="43E0BD25" w14:textId="77777777" w:rsidTr="00C05DB4">
        <w:trPr>
          <w:cantSplit/>
        </w:trPr>
        <w:tc>
          <w:tcPr>
            <w:tcW w:w="1985" w:type="dxa"/>
          </w:tcPr>
          <w:p w14:paraId="43E0BD23" w14:textId="77777777" w:rsidR="00023C79" w:rsidRPr="00C124B7" w:rsidRDefault="00023C79" w:rsidP="004716F5">
            <w:r w:rsidRPr="00C124B7">
              <w:lastRenderedPageBreak/>
              <w:t>End Date</w:t>
            </w:r>
          </w:p>
        </w:tc>
        <w:tc>
          <w:tcPr>
            <w:tcW w:w="7371" w:type="dxa"/>
          </w:tcPr>
          <w:p w14:paraId="43E0BD24" w14:textId="77777777" w:rsidR="00023C79" w:rsidRPr="00C124B7" w:rsidRDefault="00023C79" w:rsidP="004716F5">
            <w:r w:rsidRPr="00C124B7">
              <w:t>Maturity Date</w:t>
            </w:r>
          </w:p>
        </w:tc>
      </w:tr>
      <w:tr w:rsidR="00023C79" w:rsidRPr="00C124B7" w14:paraId="43E0BD28" w14:textId="77777777" w:rsidTr="00C05DB4">
        <w:trPr>
          <w:cantSplit/>
        </w:trPr>
        <w:tc>
          <w:tcPr>
            <w:tcW w:w="1985" w:type="dxa"/>
          </w:tcPr>
          <w:p w14:paraId="43E0BD26" w14:textId="77777777" w:rsidR="00023C79" w:rsidRPr="00C124B7" w:rsidRDefault="00023C79" w:rsidP="004716F5">
            <w:r w:rsidRPr="00C124B7">
              <w:t>Rate</w:t>
            </w:r>
          </w:p>
        </w:tc>
        <w:tc>
          <w:tcPr>
            <w:tcW w:w="7371" w:type="dxa"/>
          </w:tcPr>
          <w:p w14:paraId="43E0BD27" w14:textId="77777777" w:rsidR="00023C79" w:rsidRPr="00C124B7" w:rsidRDefault="00023C79" w:rsidP="004716F5">
            <w:r w:rsidRPr="00C124B7">
              <w:t>Coupon</w:t>
            </w:r>
          </w:p>
        </w:tc>
      </w:tr>
      <w:tr w:rsidR="00023C79" w:rsidRPr="00C124B7" w14:paraId="43E0BD48" w14:textId="77777777" w:rsidTr="00C05DB4">
        <w:trPr>
          <w:cantSplit/>
        </w:trPr>
        <w:tc>
          <w:tcPr>
            <w:tcW w:w="1985" w:type="dxa"/>
          </w:tcPr>
          <w:p w14:paraId="43E0BD29" w14:textId="77777777" w:rsidR="00023C79" w:rsidRPr="00C124B7" w:rsidRDefault="00023C79" w:rsidP="001F31D6">
            <w:pPr>
              <w:rPr>
                <w:i/>
              </w:rPr>
            </w:pPr>
            <w:r w:rsidRPr="00C124B7">
              <w:t>Yield Basis</w:t>
            </w:r>
          </w:p>
        </w:tc>
        <w:tc>
          <w:tcPr>
            <w:tcW w:w="7371" w:type="dxa"/>
          </w:tcPr>
          <w:p w14:paraId="43E0BD2A" w14:textId="77777777" w:rsidR="001F31D6" w:rsidRPr="00B62A69" w:rsidRDefault="00023C79" w:rsidP="001F31D6">
            <w:r w:rsidRPr="00C124B7">
              <w:t xml:space="preserve">Verify </w:t>
            </w:r>
            <w:r w:rsidR="001F31D6">
              <w:t xml:space="preserve">the </w:t>
            </w:r>
            <w:r w:rsidRPr="00C124B7">
              <w:t xml:space="preserve">template, or if the value in the FINDUR Bond Profile </w:t>
            </w:r>
            <w:r w:rsidRPr="00C124B7">
              <w:rPr>
                <w:b/>
              </w:rPr>
              <w:t>Payments</w:t>
            </w:r>
            <w:r w:rsidRPr="00C124B7">
              <w:t xml:space="preserve"> column does not match the </w:t>
            </w:r>
            <w:r w:rsidRPr="00C124B7">
              <w:rPr>
                <w:b/>
              </w:rPr>
              <w:t xml:space="preserve">Interest </w:t>
            </w:r>
            <w:r w:rsidRPr="00C124B7">
              <w:t>column value</w:t>
            </w:r>
            <w:r w:rsidR="00833972">
              <w:t xml:space="preserve"> from </w:t>
            </w:r>
            <w:r w:rsidR="00D610F8">
              <w:t>the BBG Cashflow screenshot</w:t>
            </w:r>
            <w:r w:rsidR="001F31D6">
              <w:t>, then r</w:t>
            </w:r>
            <w:r w:rsidR="001F31D6" w:rsidRPr="00C124B7">
              <w:t xml:space="preserve">efer to the </w:t>
            </w:r>
            <w:r w:rsidR="001F31D6" w:rsidRPr="001F31D6">
              <w:rPr>
                <w:b/>
              </w:rPr>
              <w:t>Coupon</w:t>
            </w:r>
            <w:r w:rsidR="001F31D6" w:rsidRPr="00C124B7">
              <w:t xml:space="preserve"> box on the </w:t>
            </w:r>
            <w:r w:rsidR="001F31D6" w:rsidRPr="001F31D6">
              <w:rPr>
                <w:b/>
              </w:rPr>
              <w:t>Bloomberg Security Description</w:t>
            </w:r>
            <w:r w:rsidR="001F31D6">
              <w:t>:</w:t>
            </w:r>
          </w:p>
          <w:tbl>
            <w:tblPr>
              <w:tblStyle w:val="TableBasic"/>
              <w:tblW w:w="7087" w:type="dxa"/>
              <w:tblLayout w:type="fixed"/>
              <w:tblLook w:val="01E0" w:firstRow="1" w:lastRow="1" w:firstColumn="1" w:lastColumn="1" w:noHBand="0" w:noVBand="0"/>
            </w:tblPr>
            <w:tblGrid>
              <w:gridCol w:w="2126"/>
              <w:gridCol w:w="1984"/>
              <w:gridCol w:w="2977"/>
            </w:tblGrid>
            <w:tr w:rsidR="001F31D6" w:rsidRPr="00C124B7" w14:paraId="43E0BD2E" w14:textId="77777777" w:rsidTr="00C05D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26" w:type="dxa"/>
                </w:tcPr>
                <w:p w14:paraId="43E0BD2B" w14:textId="77777777" w:rsidR="001F31D6" w:rsidRPr="001F31D6" w:rsidRDefault="001F31D6" w:rsidP="001F31D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Info</w:t>
                  </w:r>
                  <w:r w:rsidRPr="001F31D6">
                    <w:t xml:space="preserve">  </w:t>
                  </w:r>
                </w:p>
              </w:tc>
              <w:tc>
                <w:tcPr>
                  <w:tcW w:w="1984" w:type="dxa"/>
                </w:tcPr>
                <w:p w14:paraId="43E0BD2C" w14:textId="77777777" w:rsidR="001F31D6" w:rsidRPr="001F31D6" w:rsidRDefault="001F31D6" w:rsidP="001F31D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Calculation</w:t>
                  </w:r>
                </w:p>
              </w:tc>
              <w:tc>
                <w:tcPr>
                  <w:tcW w:w="2977" w:type="dxa"/>
                </w:tcPr>
                <w:p w14:paraId="43E0BD2D" w14:textId="77777777" w:rsidR="001F31D6" w:rsidRPr="001F31D6" w:rsidRDefault="001F31D6" w:rsidP="001F31D6">
                  <w:pPr>
                    <w:rPr>
                      <w:b w:val="0"/>
                    </w:rPr>
                  </w:pPr>
                  <w:r w:rsidRPr="001F31D6">
                    <w:rPr>
                      <w:b w:val="0"/>
                    </w:rPr>
                    <w:t>Yield basis</w:t>
                  </w:r>
                </w:p>
              </w:tc>
            </w:tr>
            <w:tr w:rsidR="001F31D6" w:rsidRPr="00C124B7" w14:paraId="43E0BD32" w14:textId="77777777" w:rsidTr="00C05DB4">
              <w:tc>
                <w:tcPr>
                  <w:tcW w:w="2126" w:type="dxa"/>
                </w:tcPr>
                <w:p w14:paraId="43E0BD2F" w14:textId="77777777" w:rsidR="001F31D6" w:rsidRPr="00C124B7" w:rsidRDefault="001F31D6" w:rsidP="001F31D6">
                  <w:r w:rsidRPr="00C124B7">
                    <w:t>ISMA or SIA</w:t>
                  </w:r>
                </w:p>
              </w:tc>
              <w:tc>
                <w:tcPr>
                  <w:tcW w:w="1984" w:type="dxa"/>
                </w:tcPr>
                <w:p w14:paraId="43E0BD30" w14:textId="77777777" w:rsidR="001F31D6" w:rsidRPr="00C124B7" w:rsidRDefault="001F31D6" w:rsidP="001F31D6">
                  <w:r w:rsidRPr="00C124B7">
                    <w:t>ISMA 30/360</w:t>
                  </w:r>
                </w:p>
              </w:tc>
              <w:tc>
                <w:tcPr>
                  <w:tcW w:w="2977" w:type="dxa"/>
                </w:tcPr>
                <w:p w14:paraId="43E0BD31" w14:textId="77777777" w:rsidR="001F31D6" w:rsidRPr="00C124B7" w:rsidRDefault="001F31D6" w:rsidP="001F31D6">
                  <w:r>
                    <w:t>30/360 FIXED f</w:t>
                  </w:r>
                  <w:r w:rsidRPr="00C124B7">
                    <w:t>rom pick list front page</w:t>
                  </w:r>
                  <w:r>
                    <w:t>.</w:t>
                  </w:r>
                </w:p>
              </w:tc>
            </w:tr>
            <w:tr w:rsidR="001F31D6" w:rsidRPr="00C124B7" w14:paraId="43E0BD36" w14:textId="77777777" w:rsidTr="00C05DB4">
              <w:tc>
                <w:tcPr>
                  <w:tcW w:w="2126" w:type="dxa"/>
                </w:tcPr>
                <w:p w14:paraId="43E0BD33" w14:textId="77777777" w:rsidR="001F31D6" w:rsidRPr="00C124B7" w:rsidRDefault="001F31D6" w:rsidP="001F31D6"/>
              </w:tc>
              <w:tc>
                <w:tcPr>
                  <w:tcW w:w="1984" w:type="dxa"/>
                </w:tcPr>
                <w:p w14:paraId="43E0BD34" w14:textId="77777777" w:rsidR="001F31D6" w:rsidRPr="00C124B7" w:rsidRDefault="001F31D6" w:rsidP="001F31D6">
                  <w:r w:rsidRPr="00C124B7">
                    <w:t>30/360</w:t>
                  </w:r>
                </w:p>
              </w:tc>
              <w:tc>
                <w:tcPr>
                  <w:tcW w:w="2977" w:type="dxa"/>
                </w:tcPr>
                <w:p w14:paraId="43E0BD35" w14:textId="77777777" w:rsidR="001F31D6" w:rsidRPr="00C124B7" w:rsidRDefault="001F31D6" w:rsidP="001F31D6">
                  <w:r w:rsidRPr="00C124B7">
                    <w:t xml:space="preserve">30/360 FIXED </w:t>
                  </w:r>
                  <w:r>
                    <w:t>f</w:t>
                  </w:r>
                  <w:r w:rsidRPr="00C124B7">
                    <w:t>rom pick list front page</w:t>
                  </w:r>
                  <w:r>
                    <w:t>.</w:t>
                  </w:r>
                </w:p>
              </w:tc>
            </w:tr>
            <w:tr w:rsidR="001F31D6" w:rsidRPr="00C124B7" w14:paraId="43E0BD3A" w14:textId="77777777" w:rsidTr="00C05DB4">
              <w:tc>
                <w:tcPr>
                  <w:tcW w:w="2126" w:type="dxa"/>
                </w:tcPr>
                <w:p w14:paraId="43E0BD37" w14:textId="77777777" w:rsidR="001F31D6" w:rsidRPr="00C124B7" w:rsidRDefault="001F31D6" w:rsidP="001F31D6">
                  <w:r w:rsidRPr="00C124B7">
                    <w:t xml:space="preserve">Short </w:t>
                  </w:r>
                  <w:r>
                    <w:t>or</w:t>
                  </w:r>
                  <w:r w:rsidRPr="00C124B7">
                    <w:t xml:space="preserve"> Long 1</w:t>
                  </w:r>
                  <w:r w:rsidRPr="00C124B7">
                    <w:rPr>
                      <w:vertAlign w:val="superscript"/>
                    </w:rPr>
                    <w:t>st</w:t>
                  </w:r>
                  <w:r w:rsidRPr="00C124B7">
                    <w:t xml:space="preserve"> Coupon</w:t>
                  </w:r>
                </w:p>
              </w:tc>
              <w:tc>
                <w:tcPr>
                  <w:tcW w:w="1984" w:type="dxa"/>
                </w:tcPr>
                <w:p w14:paraId="43E0BD38" w14:textId="77777777" w:rsidR="001F31D6" w:rsidRPr="00C124B7" w:rsidRDefault="001F31D6" w:rsidP="001F31D6">
                  <w:r w:rsidRPr="00C124B7">
                    <w:t>Short OR Long 1</w:t>
                  </w:r>
                  <w:r w:rsidRPr="00C124B7">
                    <w:rPr>
                      <w:vertAlign w:val="superscript"/>
                    </w:rPr>
                    <w:t>st</w:t>
                  </w:r>
                  <w:r w:rsidRPr="00C124B7">
                    <w:t xml:space="preserve"> Coupon</w:t>
                  </w:r>
                </w:p>
              </w:tc>
              <w:tc>
                <w:tcPr>
                  <w:tcW w:w="2977" w:type="dxa"/>
                </w:tcPr>
                <w:p w14:paraId="43E0BD39" w14:textId="77777777" w:rsidR="001F31D6" w:rsidRPr="00C124B7" w:rsidRDefault="001F31D6" w:rsidP="001F31D6">
                  <w:r w:rsidRPr="00C124B7">
                    <w:t>Act/Act Bond Unadjusted</w:t>
                  </w:r>
                  <w:r>
                    <w:t xml:space="preserve"> </w:t>
                  </w:r>
                  <w:r w:rsidRPr="00C124B7">
                    <w:t>from pick list front page</w:t>
                  </w:r>
                  <w:r>
                    <w:t>.</w:t>
                  </w:r>
                </w:p>
              </w:tc>
            </w:tr>
            <w:tr w:rsidR="001F31D6" w:rsidRPr="00C124B7" w14:paraId="43E0BD3E" w14:textId="77777777" w:rsidTr="00C05DB4">
              <w:tc>
                <w:tcPr>
                  <w:tcW w:w="2126" w:type="dxa"/>
                </w:tcPr>
                <w:p w14:paraId="43E0BD3B" w14:textId="77777777" w:rsidR="001F31D6" w:rsidRPr="00C124B7" w:rsidRDefault="001F31D6" w:rsidP="001F31D6">
                  <w:r w:rsidRPr="00C124B7">
                    <w:t>Short Last Coupon</w:t>
                  </w:r>
                </w:p>
              </w:tc>
              <w:tc>
                <w:tcPr>
                  <w:tcW w:w="1984" w:type="dxa"/>
                </w:tcPr>
                <w:p w14:paraId="43E0BD3C" w14:textId="77777777" w:rsidR="001F31D6" w:rsidRPr="00C124B7" w:rsidRDefault="001F31D6" w:rsidP="001F31D6">
                  <w:r w:rsidRPr="00C124B7">
                    <w:t xml:space="preserve">30/360 FIXED </w:t>
                  </w:r>
                </w:p>
              </w:tc>
              <w:tc>
                <w:tcPr>
                  <w:tcW w:w="2977" w:type="dxa"/>
                </w:tcPr>
                <w:p w14:paraId="43E0BD3D" w14:textId="77777777" w:rsidR="001F31D6" w:rsidRPr="00C124B7" w:rsidRDefault="001F31D6" w:rsidP="001F31D6">
                  <w:r w:rsidRPr="00C124B7">
                    <w:t>30E/360 Unadjusted from pick list front page</w:t>
                  </w:r>
                  <w:r>
                    <w:t>.</w:t>
                  </w:r>
                </w:p>
              </w:tc>
            </w:tr>
            <w:tr w:rsidR="001F31D6" w:rsidRPr="00C124B7" w14:paraId="43E0BD42" w14:textId="77777777" w:rsidTr="00C05DB4">
              <w:tc>
                <w:tcPr>
                  <w:tcW w:w="2126" w:type="dxa"/>
                </w:tcPr>
                <w:p w14:paraId="43E0BD3F" w14:textId="77777777" w:rsidR="001F31D6" w:rsidRPr="00C124B7" w:rsidRDefault="001F31D6" w:rsidP="001F31D6">
                  <w:r w:rsidRPr="00C124B7">
                    <w:t xml:space="preserve">SPGB </w:t>
                  </w:r>
                  <w:r>
                    <w:br/>
                  </w:r>
                  <w:r w:rsidRPr="00C124B7">
                    <w:t>(Spanish bond)</w:t>
                  </w:r>
                </w:p>
              </w:tc>
              <w:tc>
                <w:tcPr>
                  <w:tcW w:w="1984" w:type="dxa"/>
                </w:tcPr>
                <w:p w14:paraId="43E0BD40" w14:textId="77777777" w:rsidR="001F31D6" w:rsidRPr="00C124B7" w:rsidRDefault="001F31D6" w:rsidP="001F31D6">
                  <w:r w:rsidRPr="00C124B7">
                    <w:t>SPGB</w:t>
                  </w:r>
                </w:p>
              </w:tc>
              <w:tc>
                <w:tcPr>
                  <w:tcW w:w="2977" w:type="dxa"/>
                </w:tcPr>
                <w:p w14:paraId="43E0BD41" w14:textId="77777777" w:rsidR="001F31D6" w:rsidRPr="00C124B7" w:rsidRDefault="001F31D6" w:rsidP="001F31D6">
                  <w:r w:rsidRPr="00C124B7">
                    <w:t>Act/Act Bond Unadjusted from pick list front page</w:t>
                  </w:r>
                  <w:r>
                    <w:t>.</w:t>
                  </w:r>
                </w:p>
              </w:tc>
            </w:tr>
            <w:tr w:rsidR="001F31D6" w:rsidRPr="00C124B7" w14:paraId="43E0BD46" w14:textId="77777777" w:rsidTr="00C05DB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26" w:type="dxa"/>
                </w:tcPr>
                <w:p w14:paraId="43E0BD43" w14:textId="77777777" w:rsidR="001F31D6" w:rsidRPr="00C124B7" w:rsidRDefault="001F31D6" w:rsidP="001F31D6">
                  <w:r>
                    <w:t>A</w:t>
                  </w:r>
                  <w:r w:rsidRPr="00C124B7">
                    <w:t>ll other bonds</w:t>
                  </w:r>
                </w:p>
              </w:tc>
              <w:tc>
                <w:tcPr>
                  <w:tcW w:w="1984" w:type="dxa"/>
                </w:tcPr>
                <w:p w14:paraId="43E0BD44" w14:textId="77777777" w:rsidR="001F31D6" w:rsidRPr="00C124B7" w:rsidRDefault="001F31D6" w:rsidP="001F31D6"/>
              </w:tc>
              <w:tc>
                <w:tcPr>
                  <w:tcW w:w="2977" w:type="dxa"/>
                </w:tcPr>
                <w:p w14:paraId="43E0BD45" w14:textId="77777777" w:rsidR="001F31D6" w:rsidRPr="00C124B7" w:rsidRDefault="001F31D6" w:rsidP="001F31D6">
                  <w:r>
                    <w:t xml:space="preserve">Verify under </w:t>
                  </w:r>
                  <w:r w:rsidRPr="001F31D6">
                    <w:rPr>
                      <w:b/>
                    </w:rPr>
                    <w:t>Fixed</w:t>
                  </w:r>
                  <w:r w:rsidRPr="00C124B7">
                    <w:t xml:space="preserve"> line in the </w:t>
                  </w:r>
                  <w:r w:rsidRPr="001F31D6">
                    <w:rPr>
                      <w:b/>
                    </w:rPr>
                    <w:t>Coupon</w:t>
                  </w:r>
                  <w:r w:rsidRPr="00C124B7">
                    <w:t xml:space="preserve"> box.</w:t>
                  </w:r>
                </w:p>
              </w:tc>
            </w:tr>
          </w:tbl>
          <w:p w14:paraId="43E0BD47" w14:textId="77777777" w:rsidR="001F31D6" w:rsidRPr="00C124B7" w:rsidRDefault="001F31D6" w:rsidP="001F31D6">
            <w:pPr>
              <w:rPr>
                <w:i/>
              </w:rPr>
            </w:pPr>
          </w:p>
        </w:tc>
      </w:tr>
      <w:tr w:rsidR="00023C79" w:rsidRPr="00C124B7" w14:paraId="43E0BD4C" w14:textId="77777777" w:rsidTr="00C05DB4">
        <w:trPr>
          <w:cantSplit/>
          <w:trHeight w:val="590"/>
        </w:trPr>
        <w:tc>
          <w:tcPr>
            <w:tcW w:w="1985" w:type="dxa"/>
          </w:tcPr>
          <w:p w14:paraId="43E0BD49" w14:textId="77777777" w:rsidR="00023C79" w:rsidRPr="00C124B7" w:rsidRDefault="00023C79" w:rsidP="001F31D6">
            <w:r w:rsidRPr="00C124B7">
              <w:t>Payment Period</w:t>
            </w:r>
          </w:p>
        </w:tc>
        <w:tc>
          <w:tcPr>
            <w:tcW w:w="7371" w:type="dxa"/>
          </w:tcPr>
          <w:p w14:paraId="43E0BD4A" w14:textId="77777777" w:rsidR="00023C79" w:rsidRPr="00C124B7" w:rsidRDefault="00023C79" w:rsidP="004716F5">
            <w:r w:rsidRPr="00C124B7">
              <w:t xml:space="preserve">Verify under Coupon. </w:t>
            </w:r>
          </w:p>
          <w:p w14:paraId="43E0BD4B" w14:textId="77777777" w:rsidR="00023C79" w:rsidRPr="001F31D6" w:rsidRDefault="00023C79" w:rsidP="004716F5">
            <w:r w:rsidRPr="001F31D6">
              <w:t xml:space="preserve">Keep the default for </w:t>
            </w:r>
            <w:r w:rsidRPr="00E920C8">
              <w:t>Zero Coupon</w:t>
            </w:r>
            <w:r w:rsidRPr="001F31D6">
              <w:t xml:space="preserve"> bonds</w:t>
            </w:r>
            <w:r w:rsidR="001F31D6">
              <w:t>.</w:t>
            </w:r>
          </w:p>
        </w:tc>
      </w:tr>
      <w:tr w:rsidR="00023C79" w:rsidRPr="00C124B7" w14:paraId="43E0BD4F" w14:textId="77777777" w:rsidTr="00C05DB4">
        <w:trPr>
          <w:cantSplit/>
        </w:trPr>
        <w:tc>
          <w:tcPr>
            <w:tcW w:w="1985" w:type="dxa"/>
          </w:tcPr>
          <w:p w14:paraId="43E0BD4D" w14:textId="77777777" w:rsidR="00023C79" w:rsidRPr="00C124B7" w:rsidRDefault="00023C79" w:rsidP="004716F5">
            <w:r w:rsidRPr="00C124B7">
              <w:t>Front Roll Date</w:t>
            </w:r>
          </w:p>
        </w:tc>
        <w:tc>
          <w:tcPr>
            <w:tcW w:w="7371" w:type="dxa"/>
          </w:tcPr>
          <w:p w14:paraId="43E0BD4E" w14:textId="77777777" w:rsidR="00023C79" w:rsidRPr="00C124B7" w:rsidRDefault="00023C79" w:rsidP="004716F5">
            <w:r w:rsidRPr="00C124B7">
              <w:t>1</w:t>
            </w:r>
            <w:r w:rsidRPr="00C124B7">
              <w:rPr>
                <w:vertAlign w:val="superscript"/>
              </w:rPr>
              <w:t>st</w:t>
            </w:r>
            <w:r w:rsidRPr="00C124B7">
              <w:t xml:space="preserve"> coupon date</w:t>
            </w:r>
          </w:p>
        </w:tc>
      </w:tr>
      <w:tr w:rsidR="00023C79" w:rsidRPr="00C124B7" w14:paraId="43E0BD52" w14:textId="77777777" w:rsidTr="00C05DB4">
        <w:trPr>
          <w:cantSplit/>
        </w:trPr>
        <w:tc>
          <w:tcPr>
            <w:tcW w:w="1985" w:type="dxa"/>
          </w:tcPr>
          <w:p w14:paraId="43E0BD50" w14:textId="77777777" w:rsidR="00023C79" w:rsidRPr="00C124B7" w:rsidRDefault="00023C79" w:rsidP="004716F5">
            <w:r w:rsidRPr="00C124B7">
              <w:t>Holiday Schedule</w:t>
            </w:r>
          </w:p>
        </w:tc>
        <w:tc>
          <w:tcPr>
            <w:tcW w:w="7371" w:type="dxa"/>
          </w:tcPr>
          <w:p w14:paraId="43E0BD51" w14:textId="77777777" w:rsidR="00023C79" w:rsidRPr="00C124B7" w:rsidRDefault="00023C79" w:rsidP="004716F5">
            <w:r w:rsidRPr="00C124B7">
              <w:t xml:space="preserve">Verify </w:t>
            </w:r>
            <w:r w:rsidR="00B9580D">
              <w:t>the Templat</w:t>
            </w:r>
            <w:r w:rsidR="004213F8">
              <w:t>e (if there are any issues verify with FRO Analyst)</w:t>
            </w:r>
          </w:p>
        </w:tc>
      </w:tr>
      <w:tr w:rsidR="00D610F8" w:rsidRPr="00C124B7" w14:paraId="43E0BD55" w14:textId="77777777" w:rsidTr="00C05DB4">
        <w:trPr>
          <w:cantSplit/>
        </w:trPr>
        <w:tc>
          <w:tcPr>
            <w:tcW w:w="1985" w:type="dxa"/>
          </w:tcPr>
          <w:p w14:paraId="43E0BD53" w14:textId="77777777" w:rsidR="00D610F8" w:rsidRPr="00C124B7" w:rsidRDefault="00D610F8" w:rsidP="004716F5"/>
        </w:tc>
        <w:tc>
          <w:tcPr>
            <w:tcW w:w="7371" w:type="dxa"/>
          </w:tcPr>
          <w:p w14:paraId="43E0BD54" w14:textId="77777777" w:rsidR="00D610F8" w:rsidRPr="00C124B7" w:rsidRDefault="00D610F8" w:rsidP="004716F5"/>
        </w:tc>
      </w:tr>
      <w:tr w:rsidR="00023C79" w:rsidRPr="00C124B7" w14:paraId="43E0BD57" w14:textId="77777777" w:rsidTr="00F6552C">
        <w:trPr>
          <w:cantSplit/>
        </w:trPr>
        <w:tc>
          <w:tcPr>
            <w:tcW w:w="9356" w:type="dxa"/>
            <w:gridSpan w:val="2"/>
            <w:shd w:val="clear" w:color="auto" w:fill="EEECE1" w:themeFill="background2"/>
          </w:tcPr>
          <w:p w14:paraId="43E0BD56" w14:textId="77777777" w:rsidR="00023C79" w:rsidRPr="001F31D6" w:rsidRDefault="00023C79" w:rsidP="004716F5">
            <w:r w:rsidRPr="008B0652">
              <w:rPr>
                <w:b/>
              </w:rPr>
              <w:t>A. Japan</w:t>
            </w:r>
            <w:r w:rsidR="001F31D6" w:rsidRPr="008B0652">
              <w:rPr>
                <w:b/>
              </w:rPr>
              <w:t xml:space="preserve"> – for Japanese bonds</w:t>
            </w:r>
            <w:r w:rsidR="00D610F8" w:rsidRPr="008B0652">
              <w:rPr>
                <w:b/>
              </w:rPr>
              <w:t xml:space="preserve"> only</w:t>
            </w:r>
          </w:p>
        </w:tc>
      </w:tr>
      <w:tr w:rsidR="00023C79" w:rsidRPr="00C124B7" w14:paraId="43E0BD5A" w14:textId="77777777" w:rsidTr="00C05DB4">
        <w:trPr>
          <w:cantSplit/>
        </w:trPr>
        <w:tc>
          <w:tcPr>
            <w:tcW w:w="1985" w:type="dxa"/>
          </w:tcPr>
          <w:p w14:paraId="43E0BD58" w14:textId="77777777" w:rsidR="00023C79" w:rsidRPr="001F31D6" w:rsidRDefault="00023C79" w:rsidP="004716F5">
            <w:r w:rsidRPr="001F31D6">
              <w:t>Book</w:t>
            </w:r>
          </w:p>
        </w:tc>
        <w:tc>
          <w:tcPr>
            <w:tcW w:w="7371" w:type="dxa"/>
          </w:tcPr>
          <w:p w14:paraId="43E0BD59" w14:textId="77777777" w:rsidR="00023C79" w:rsidRPr="001F31D6" w:rsidRDefault="00023C79" w:rsidP="004716F5">
            <w:r w:rsidRPr="001F31D6">
              <w:t>BOJ</w:t>
            </w:r>
          </w:p>
        </w:tc>
      </w:tr>
      <w:tr w:rsidR="00023C79" w:rsidRPr="00C124B7" w14:paraId="43E0BD5D" w14:textId="77777777" w:rsidTr="00C05DB4">
        <w:trPr>
          <w:cantSplit/>
        </w:trPr>
        <w:tc>
          <w:tcPr>
            <w:tcW w:w="1985" w:type="dxa"/>
          </w:tcPr>
          <w:p w14:paraId="43E0BD5B" w14:textId="77777777" w:rsidR="00023C79" w:rsidRPr="001F31D6" w:rsidRDefault="00023C79" w:rsidP="004716F5">
            <w:r w:rsidRPr="001F31D6">
              <w:t>Payment Currency</w:t>
            </w:r>
          </w:p>
        </w:tc>
        <w:tc>
          <w:tcPr>
            <w:tcW w:w="7371" w:type="dxa"/>
          </w:tcPr>
          <w:p w14:paraId="43E0BD5C" w14:textId="77777777" w:rsidR="00023C79" w:rsidRPr="001F31D6" w:rsidRDefault="00023C79" w:rsidP="004716F5">
            <w:r w:rsidRPr="001F31D6">
              <w:t>JPY</w:t>
            </w:r>
          </w:p>
        </w:tc>
      </w:tr>
      <w:tr w:rsidR="00023C79" w:rsidRPr="00C124B7" w14:paraId="43E0BD60" w14:textId="77777777" w:rsidTr="00C05DB4">
        <w:trPr>
          <w:cantSplit/>
        </w:trPr>
        <w:tc>
          <w:tcPr>
            <w:tcW w:w="1985" w:type="dxa"/>
          </w:tcPr>
          <w:p w14:paraId="43E0BD5E" w14:textId="77777777" w:rsidR="00023C79" w:rsidRPr="001F31D6" w:rsidRDefault="00023C79" w:rsidP="004716F5">
            <w:r w:rsidRPr="001F31D6">
              <w:t>Discounting Index</w:t>
            </w:r>
          </w:p>
        </w:tc>
        <w:tc>
          <w:tcPr>
            <w:tcW w:w="7371" w:type="dxa"/>
          </w:tcPr>
          <w:p w14:paraId="43E0BD5F" w14:textId="77777777" w:rsidR="00023C79" w:rsidRPr="001F31D6" w:rsidRDefault="00023C79" w:rsidP="004716F5">
            <w:r w:rsidRPr="001F31D6">
              <w:t>JPGOVT.JPY</w:t>
            </w:r>
          </w:p>
        </w:tc>
      </w:tr>
      <w:tr w:rsidR="00023C79" w:rsidRPr="00C124B7" w14:paraId="43E0BD63" w14:textId="77777777" w:rsidTr="00C05DB4">
        <w:trPr>
          <w:cantSplit/>
        </w:trPr>
        <w:tc>
          <w:tcPr>
            <w:tcW w:w="1985" w:type="dxa"/>
          </w:tcPr>
          <w:p w14:paraId="43E0BD61" w14:textId="77777777" w:rsidR="00023C79" w:rsidRPr="001F31D6" w:rsidRDefault="00023C79" w:rsidP="004716F5">
            <w:r w:rsidRPr="001F31D6">
              <w:t>Yield Basis</w:t>
            </w:r>
          </w:p>
        </w:tc>
        <w:tc>
          <w:tcPr>
            <w:tcW w:w="7371" w:type="dxa"/>
          </w:tcPr>
          <w:p w14:paraId="43E0BD62" w14:textId="77777777" w:rsidR="00023C79" w:rsidRPr="001F31D6" w:rsidRDefault="00023C79" w:rsidP="004716F5">
            <w:r w:rsidRPr="001F31D6">
              <w:t>Act/Act Bond Unadjusted</w:t>
            </w:r>
          </w:p>
        </w:tc>
      </w:tr>
      <w:tr w:rsidR="00023C79" w:rsidRPr="00C124B7" w14:paraId="43E0BD66" w14:textId="77777777" w:rsidTr="00C05DB4">
        <w:trPr>
          <w:cantSplit/>
        </w:trPr>
        <w:tc>
          <w:tcPr>
            <w:tcW w:w="1985" w:type="dxa"/>
          </w:tcPr>
          <w:p w14:paraId="43E0BD64" w14:textId="77777777" w:rsidR="00023C79" w:rsidRPr="001F31D6" w:rsidRDefault="00023C79" w:rsidP="004716F5">
            <w:r w:rsidRPr="001F31D6">
              <w:lastRenderedPageBreak/>
              <w:t>Holiday Schedule</w:t>
            </w:r>
          </w:p>
        </w:tc>
        <w:tc>
          <w:tcPr>
            <w:tcW w:w="7371" w:type="dxa"/>
          </w:tcPr>
          <w:p w14:paraId="43E0BD65" w14:textId="77777777" w:rsidR="00023C79" w:rsidRPr="001F31D6" w:rsidRDefault="00023C79" w:rsidP="004716F5">
            <w:r w:rsidRPr="001F31D6">
              <w:t>Tokyo + Toronto</w:t>
            </w:r>
          </w:p>
        </w:tc>
      </w:tr>
      <w:tr w:rsidR="00023C79" w:rsidRPr="00C124B7" w14:paraId="43E0BD68" w14:textId="77777777" w:rsidTr="00F6552C">
        <w:trPr>
          <w:cantSplit/>
        </w:trPr>
        <w:tc>
          <w:tcPr>
            <w:tcW w:w="9356" w:type="dxa"/>
            <w:gridSpan w:val="2"/>
            <w:shd w:val="clear" w:color="auto" w:fill="EEECE1" w:themeFill="background2"/>
          </w:tcPr>
          <w:p w14:paraId="43E0BD67" w14:textId="77777777" w:rsidR="00023C79" w:rsidRPr="001F31D6" w:rsidRDefault="00023C79" w:rsidP="004716F5">
            <w:pPr>
              <w:rPr>
                <w:b/>
              </w:rPr>
            </w:pPr>
            <w:r w:rsidRPr="001F31D6">
              <w:rPr>
                <w:b/>
              </w:rPr>
              <w:t>B. Spain</w:t>
            </w:r>
            <w:r w:rsidR="001F31D6" w:rsidRPr="001F31D6">
              <w:rPr>
                <w:b/>
              </w:rPr>
              <w:t xml:space="preserve"> – for Spanish bonds</w:t>
            </w:r>
          </w:p>
        </w:tc>
      </w:tr>
      <w:tr w:rsidR="00023C79" w:rsidRPr="00C124B7" w14:paraId="43E0BD6B" w14:textId="77777777" w:rsidTr="00C05D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985" w:type="dxa"/>
          </w:tcPr>
          <w:p w14:paraId="43E0BD69" w14:textId="77777777" w:rsidR="00023C79" w:rsidRPr="00C124B7" w:rsidRDefault="00023C79" w:rsidP="004716F5">
            <w:r w:rsidRPr="00C124B7">
              <w:t xml:space="preserve">Roll Convention </w:t>
            </w:r>
          </w:p>
        </w:tc>
        <w:tc>
          <w:tcPr>
            <w:tcW w:w="7371" w:type="dxa"/>
          </w:tcPr>
          <w:p w14:paraId="43E0BD6A" w14:textId="77777777" w:rsidR="00023C79" w:rsidRPr="00C124B7" w:rsidRDefault="00023C79" w:rsidP="004716F5">
            <w:r w:rsidRPr="00C124B7">
              <w:t>No EOM</w:t>
            </w:r>
          </w:p>
        </w:tc>
      </w:tr>
    </w:tbl>
    <w:p w14:paraId="43E0BD6C" w14:textId="77777777" w:rsidR="00771D86" w:rsidRDefault="00771D86" w:rsidP="007D6DBA">
      <w:pPr>
        <w:pStyle w:val="NumListdocs"/>
        <w:numPr>
          <w:ilvl w:val="0"/>
          <w:numId w:val="0"/>
        </w:numPr>
        <w:ind w:left="1440"/>
      </w:pPr>
    </w:p>
    <w:p w14:paraId="43E0BD6D" w14:textId="77777777" w:rsidR="00023C79" w:rsidRPr="007B4E67" w:rsidRDefault="00023C79" w:rsidP="00C05DB4">
      <w:pPr>
        <w:pStyle w:val="NumListdocs"/>
        <w:numPr>
          <w:ilvl w:val="1"/>
          <w:numId w:val="4"/>
        </w:numPr>
      </w:pPr>
      <w:r w:rsidRPr="007B4E67">
        <w:t xml:space="preserve">On the </w:t>
      </w:r>
      <w:r w:rsidRPr="00C05DB4">
        <w:rPr>
          <w:b/>
        </w:rPr>
        <w:t>Authorization</w:t>
      </w:r>
      <w:r w:rsidRPr="007B4E67">
        <w:t xml:space="preserve"> tab</w:t>
      </w:r>
      <w:r w:rsidR="00C05DB4">
        <w:t>, enter the following information</w:t>
      </w:r>
      <w:r w:rsidRPr="007B4E67">
        <w:t>:</w:t>
      </w:r>
    </w:p>
    <w:tbl>
      <w:tblPr>
        <w:tblStyle w:val="TableBasic"/>
        <w:tblW w:w="9351" w:type="dxa"/>
        <w:tblLayout w:type="fixed"/>
        <w:tblLook w:val="01E0" w:firstRow="1" w:lastRow="1" w:firstColumn="1" w:lastColumn="1" w:noHBand="0" w:noVBand="0"/>
      </w:tblPr>
      <w:tblGrid>
        <w:gridCol w:w="2311"/>
        <w:gridCol w:w="7040"/>
      </w:tblGrid>
      <w:tr w:rsidR="00023C79" w:rsidRPr="00C124B7" w14:paraId="43E0BD70" w14:textId="77777777" w:rsidTr="3F7D0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311" w:type="dxa"/>
          </w:tcPr>
          <w:p w14:paraId="43E0BD6E" w14:textId="77777777" w:rsidR="00023C79" w:rsidRPr="00C05DB4" w:rsidRDefault="00023C79" w:rsidP="004716F5">
            <w:pPr>
              <w:rPr>
                <w:b w:val="0"/>
              </w:rPr>
            </w:pPr>
            <w:r w:rsidRPr="00C05DB4">
              <w:t>Field</w:t>
            </w:r>
          </w:p>
        </w:tc>
        <w:tc>
          <w:tcPr>
            <w:tcW w:w="7040" w:type="dxa"/>
          </w:tcPr>
          <w:p w14:paraId="43E0BD6F" w14:textId="77777777" w:rsidR="00023C79" w:rsidRPr="00C05DB4" w:rsidRDefault="00023C79" w:rsidP="004716F5">
            <w:pPr>
              <w:rPr>
                <w:b w:val="0"/>
              </w:rPr>
            </w:pPr>
            <w:r w:rsidRPr="00C05DB4">
              <w:t xml:space="preserve">Information </w:t>
            </w:r>
          </w:p>
        </w:tc>
      </w:tr>
      <w:tr w:rsidR="00023C79" w:rsidRPr="00C124B7" w14:paraId="43E0BD74" w14:textId="77777777" w:rsidTr="3F7D0D1B">
        <w:trPr>
          <w:cantSplit/>
        </w:trPr>
        <w:tc>
          <w:tcPr>
            <w:tcW w:w="2311" w:type="dxa"/>
          </w:tcPr>
          <w:p w14:paraId="43E0BD71" w14:textId="77777777" w:rsidR="00023C79" w:rsidRPr="00C05DB4" w:rsidRDefault="00023C79" w:rsidP="00C05DB4">
            <w:r w:rsidRPr="00C05DB4">
              <w:t>Total Issue Size</w:t>
            </w:r>
          </w:p>
        </w:tc>
        <w:tc>
          <w:tcPr>
            <w:tcW w:w="7040" w:type="dxa"/>
          </w:tcPr>
          <w:p w14:paraId="43E0BD72" w14:textId="77777777" w:rsidR="00746237" w:rsidRDefault="00023C79" w:rsidP="00C05DB4">
            <w:r w:rsidRPr="00C05DB4">
              <w:t>Amount Outstanding</w:t>
            </w:r>
          </w:p>
          <w:p w14:paraId="43E0BD73" w14:textId="77777777" w:rsidR="00023C79" w:rsidRPr="00C05DB4" w:rsidRDefault="00746237" w:rsidP="00C05DB4">
            <w:r>
              <w:t>This</w:t>
            </w:r>
            <w:r w:rsidR="00023C79" w:rsidRPr="00C05DB4">
              <w:t xml:space="preserve"> amount may change depending on the ef</w:t>
            </w:r>
            <w:r>
              <w:t>fect re-openings and/or buyback.</w:t>
            </w:r>
          </w:p>
        </w:tc>
      </w:tr>
      <w:tr w:rsidR="00023C79" w:rsidRPr="00C124B7" w14:paraId="43E0BD77" w14:textId="77777777" w:rsidTr="3F7D0D1B">
        <w:trPr>
          <w:cantSplit/>
        </w:trPr>
        <w:tc>
          <w:tcPr>
            <w:tcW w:w="2311" w:type="dxa"/>
          </w:tcPr>
          <w:p w14:paraId="43E0BD75" w14:textId="77777777" w:rsidR="00023C79" w:rsidRPr="00C05DB4" w:rsidRDefault="00023C79" w:rsidP="00C05DB4">
            <w:r w:rsidRPr="00C05DB4">
              <w:t>Instrument Group</w:t>
            </w:r>
          </w:p>
        </w:tc>
        <w:tc>
          <w:tcPr>
            <w:tcW w:w="7040" w:type="dxa"/>
          </w:tcPr>
          <w:p w14:paraId="43E0BD76" w14:textId="77777777" w:rsidR="00023C79" w:rsidRPr="00C05DB4" w:rsidRDefault="00023C79" w:rsidP="00C05DB4">
            <w:r w:rsidRPr="00C05DB4">
              <w:t>Category (from Issuer document)</w:t>
            </w:r>
          </w:p>
        </w:tc>
      </w:tr>
      <w:tr w:rsidR="00023C79" w:rsidRPr="00C124B7" w14:paraId="43E0BDA6" w14:textId="77777777" w:rsidTr="3F7D0D1B">
        <w:trPr>
          <w:cantSplit/>
        </w:trPr>
        <w:tc>
          <w:tcPr>
            <w:tcW w:w="2311" w:type="dxa"/>
          </w:tcPr>
          <w:p w14:paraId="43E0BD78" w14:textId="77777777" w:rsidR="00023C79" w:rsidRPr="00C05DB4" w:rsidRDefault="00023C79" w:rsidP="00C05DB4">
            <w:r w:rsidRPr="00C05DB4">
              <w:lastRenderedPageBreak/>
              <w:t xml:space="preserve">Yield Calc Basis and </w:t>
            </w:r>
            <w:proofErr w:type="spellStart"/>
            <w:r w:rsidRPr="00C05DB4">
              <w:t>Acc.Calc</w:t>
            </w:r>
            <w:proofErr w:type="spellEnd"/>
            <w:r w:rsidRPr="00C05DB4">
              <w:t xml:space="preserve"> Basis</w:t>
            </w:r>
          </w:p>
        </w:tc>
        <w:tc>
          <w:tcPr>
            <w:tcW w:w="7040" w:type="dxa"/>
          </w:tcPr>
          <w:p w14:paraId="43E0BD79" w14:textId="77777777" w:rsidR="004213F8" w:rsidRDefault="004213F8" w:rsidP="00C05DB4"/>
          <w:p w14:paraId="43E0BD7A" w14:textId="724F9072" w:rsidR="00C05DB4" w:rsidRPr="004213F8" w:rsidRDefault="004213F8" w:rsidP="00C05DB4">
            <w:r>
              <w:t>Ver</w:t>
            </w:r>
            <w:r w:rsidRPr="00C124B7">
              <w:t xml:space="preserve">ify </w:t>
            </w:r>
            <w:r>
              <w:t xml:space="preserve">the </w:t>
            </w:r>
            <w:r w:rsidRPr="00C124B7">
              <w:t xml:space="preserve">template, or if the value in the FINDUR Bond Profile </w:t>
            </w:r>
            <w:r w:rsidRPr="00C124B7">
              <w:rPr>
                <w:b/>
              </w:rPr>
              <w:t>Payments</w:t>
            </w:r>
            <w:r w:rsidRPr="00C124B7">
              <w:t xml:space="preserve"> </w:t>
            </w:r>
            <w:r w:rsidR="000862DB">
              <w:t xml:space="preserve">and </w:t>
            </w:r>
            <w:r w:rsidR="000862DB" w:rsidRPr="005B32A1">
              <w:rPr>
                <w:b/>
              </w:rPr>
              <w:t>Payment</w:t>
            </w:r>
            <w:r w:rsidR="005B32A1" w:rsidRPr="005B32A1">
              <w:rPr>
                <w:b/>
              </w:rPr>
              <w:t>s</w:t>
            </w:r>
            <w:r w:rsidR="005B32A1">
              <w:t xml:space="preserve"> </w:t>
            </w:r>
            <w:r w:rsidR="0020229B" w:rsidRPr="0020229B">
              <w:rPr>
                <w:b/>
              </w:rPr>
              <w:t>date</w:t>
            </w:r>
            <w:r w:rsidR="0020229B">
              <w:t xml:space="preserve"> </w:t>
            </w:r>
            <w:r w:rsidRPr="00C124B7">
              <w:t>column</w:t>
            </w:r>
            <w:r w:rsidR="005B32A1">
              <w:t>s</w:t>
            </w:r>
            <w:r w:rsidRPr="00C124B7">
              <w:t xml:space="preserve"> do not match the </w:t>
            </w:r>
            <w:r w:rsidRPr="00C124B7">
              <w:rPr>
                <w:b/>
              </w:rPr>
              <w:t xml:space="preserve">Interest </w:t>
            </w:r>
            <w:r w:rsidRPr="00C124B7">
              <w:t>column value</w:t>
            </w:r>
            <w:r>
              <w:t xml:space="preserve"> from the BBG Cashflow screenshot, then r</w:t>
            </w:r>
            <w:r w:rsidRPr="00C124B7">
              <w:t xml:space="preserve">efer to the </w:t>
            </w:r>
            <w:r w:rsidRPr="001F31D6">
              <w:rPr>
                <w:b/>
              </w:rPr>
              <w:t>Coupon</w:t>
            </w:r>
            <w:r w:rsidRPr="00C124B7">
              <w:t xml:space="preserve"> box on the </w:t>
            </w:r>
            <w:r w:rsidRPr="001F31D6">
              <w:rPr>
                <w:b/>
              </w:rPr>
              <w:t>Bloomberg Security Description</w:t>
            </w:r>
            <w:r>
              <w:t>:</w:t>
            </w:r>
          </w:p>
          <w:tbl>
            <w:tblPr>
              <w:tblStyle w:val="TableBasic"/>
              <w:tblW w:w="6781" w:type="dxa"/>
              <w:tblLayout w:type="fixed"/>
              <w:tblLook w:val="01E0" w:firstRow="1" w:lastRow="1" w:firstColumn="1" w:lastColumn="1" w:noHBand="0" w:noVBand="0"/>
            </w:tblPr>
            <w:tblGrid>
              <w:gridCol w:w="1253"/>
              <w:gridCol w:w="1134"/>
              <w:gridCol w:w="1559"/>
              <w:gridCol w:w="1418"/>
              <w:gridCol w:w="1417"/>
            </w:tblGrid>
            <w:tr w:rsidR="00C05DB4" w:rsidRPr="00C124B7" w14:paraId="43E0BD80" w14:textId="77777777" w:rsidTr="3F7D0D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53" w:type="dxa"/>
                  <w:tcMar>
                    <w:left w:w="57" w:type="dxa"/>
                    <w:right w:w="57" w:type="dxa"/>
                  </w:tcMar>
                </w:tcPr>
                <w:p w14:paraId="43E0BD7B" w14:textId="77777777" w:rsidR="00C05DB4" w:rsidRPr="00C05DB4" w:rsidRDefault="00C05DB4" w:rsidP="00C05DB4">
                  <w:pPr>
                    <w:rPr>
                      <w:b w:val="0"/>
                      <w:sz w:val="20"/>
                    </w:rPr>
                  </w:pPr>
                  <w:r>
                    <w:rPr>
                      <w:sz w:val="20"/>
                    </w:rPr>
                    <w:t>Info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</w:tcPr>
                <w:p w14:paraId="43E0BD7C" w14:textId="77777777" w:rsidR="00C05DB4" w:rsidRPr="00C05DB4" w:rsidRDefault="00C05DB4" w:rsidP="00C05DB4">
                  <w:pPr>
                    <w:rPr>
                      <w:b w:val="0"/>
                      <w:sz w:val="20"/>
                    </w:rPr>
                  </w:pPr>
                  <w:r>
                    <w:rPr>
                      <w:sz w:val="20"/>
                    </w:rPr>
                    <w:t>Calc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</w:tcPr>
                <w:p w14:paraId="43E0BD7D" w14:textId="77777777" w:rsidR="00C05DB4" w:rsidRPr="00C05DB4" w:rsidRDefault="00C05DB4" w:rsidP="00C05DB4">
                  <w:pPr>
                    <w:rPr>
                      <w:b w:val="0"/>
                      <w:sz w:val="20"/>
                    </w:rPr>
                  </w:pPr>
                  <w:r>
                    <w:rPr>
                      <w:sz w:val="20"/>
                    </w:rPr>
                    <w:t>Yield Calc Basis</w:t>
                  </w:r>
                </w:p>
              </w:tc>
              <w:tc>
                <w:tcPr>
                  <w:tcW w:w="1418" w:type="dxa"/>
                  <w:tcMar>
                    <w:left w:w="57" w:type="dxa"/>
                    <w:right w:w="57" w:type="dxa"/>
                  </w:tcMar>
                </w:tcPr>
                <w:p w14:paraId="43E0BD7E" w14:textId="77777777" w:rsidR="00C05DB4" w:rsidRPr="00C05DB4" w:rsidRDefault="00C05DB4" w:rsidP="00C05DB4">
                  <w:pPr>
                    <w:rPr>
                      <w:b w:val="0"/>
                      <w:sz w:val="20"/>
                    </w:rPr>
                  </w:pPr>
                  <w:r>
                    <w:rPr>
                      <w:sz w:val="20"/>
                    </w:rPr>
                    <w:t>Accrual Calc Basis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</w:tcPr>
                <w:p w14:paraId="43E0BD7F" w14:textId="77777777" w:rsidR="00C05DB4" w:rsidRPr="00C05DB4" w:rsidRDefault="00C05DB4" w:rsidP="00C05DB4">
                  <w:pPr>
                    <w:rPr>
                      <w:b w:val="0"/>
                      <w:sz w:val="20"/>
                    </w:rPr>
                  </w:pPr>
                  <w:r>
                    <w:rPr>
                      <w:sz w:val="20"/>
                    </w:rPr>
                    <w:t xml:space="preserve">Final Coupon </w:t>
                  </w:r>
                  <w:proofErr w:type="spellStart"/>
                  <w:r>
                    <w:rPr>
                      <w:sz w:val="20"/>
                    </w:rPr>
                    <w:t>Yld</w:t>
                  </w:r>
                  <w:proofErr w:type="spellEnd"/>
                  <w:r>
                    <w:rPr>
                      <w:sz w:val="20"/>
                    </w:rPr>
                    <w:t xml:space="preserve"> Basis</w:t>
                  </w:r>
                </w:p>
              </w:tc>
            </w:tr>
            <w:tr w:rsidR="00C05DB4" w:rsidRPr="00C124B7" w14:paraId="43E0BD86" w14:textId="77777777" w:rsidTr="3F7D0D1B">
              <w:tc>
                <w:tcPr>
                  <w:tcW w:w="1253" w:type="dxa"/>
                  <w:tcMar>
                    <w:left w:w="57" w:type="dxa"/>
                    <w:right w:w="57" w:type="dxa"/>
                  </w:tcMar>
                </w:tcPr>
                <w:p w14:paraId="43E0BD81" w14:textId="77777777" w:rsidR="00C05DB4" w:rsidRPr="00C124B7" w:rsidRDefault="00C05DB4" w:rsidP="00C05DB4">
                  <w:r w:rsidRPr="00C124B7">
                    <w:t>ISMA or SIA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</w:tcPr>
                <w:p w14:paraId="43E0BD82" w14:textId="77777777" w:rsidR="00C05DB4" w:rsidRPr="00C124B7" w:rsidRDefault="00C05DB4" w:rsidP="00C05DB4">
                  <w:r w:rsidRPr="00C124B7">
                    <w:t>ISMA 30/360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</w:tcPr>
                <w:p w14:paraId="43E0BD83" w14:textId="77777777" w:rsidR="00C05DB4" w:rsidRPr="00C124B7" w:rsidRDefault="00C05DB4" w:rsidP="00C05DB4">
                  <w:r w:rsidRPr="00C124B7">
                    <w:t>Follow template</w:t>
                  </w:r>
                </w:p>
              </w:tc>
              <w:tc>
                <w:tcPr>
                  <w:tcW w:w="1418" w:type="dxa"/>
                  <w:tcMar>
                    <w:left w:w="57" w:type="dxa"/>
                    <w:right w:w="57" w:type="dxa"/>
                  </w:tcMar>
                </w:tcPr>
                <w:p w14:paraId="43E0BD84" w14:textId="77777777" w:rsidR="00C05DB4" w:rsidRPr="00C124B7" w:rsidRDefault="00C05DB4" w:rsidP="00C05DB4">
                  <w:r w:rsidRPr="00C124B7">
                    <w:t>Follow template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</w:tcPr>
                <w:p w14:paraId="43E0BD85" w14:textId="77777777" w:rsidR="00C05DB4" w:rsidRPr="00C124B7" w:rsidRDefault="00C05DB4" w:rsidP="00C05DB4"/>
              </w:tc>
            </w:tr>
            <w:tr w:rsidR="00C05DB4" w:rsidRPr="00C124B7" w14:paraId="43E0BD8C" w14:textId="77777777" w:rsidTr="3F7D0D1B">
              <w:tc>
                <w:tcPr>
                  <w:tcW w:w="1253" w:type="dxa"/>
                  <w:tcMar>
                    <w:left w:w="57" w:type="dxa"/>
                    <w:right w:w="57" w:type="dxa"/>
                  </w:tcMar>
                </w:tcPr>
                <w:p w14:paraId="43E0BD87" w14:textId="77777777" w:rsidR="00C05DB4" w:rsidRPr="00C124B7" w:rsidRDefault="00C05DB4" w:rsidP="00C05DB4"/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</w:tcPr>
                <w:p w14:paraId="43E0BD88" w14:textId="77777777" w:rsidR="00C05DB4" w:rsidRPr="00C124B7" w:rsidRDefault="00C05DB4" w:rsidP="00C05DB4">
                  <w:r w:rsidRPr="00C124B7">
                    <w:t>30/360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</w:tcPr>
                <w:p w14:paraId="43E0BD89" w14:textId="77777777" w:rsidR="00C05DB4" w:rsidRPr="00C124B7" w:rsidRDefault="00C05DB4" w:rsidP="00C05DB4">
                  <w:r w:rsidRPr="00C124B7">
                    <w:t xml:space="preserve">30/360 </w:t>
                  </w:r>
                  <w:r>
                    <w:t>f</w:t>
                  </w:r>
                  <w:r w:rsidRPr="00C124B7">
                    <w:t>rom pick list back page</w:t>
                  </w:r>
                </w:p>
              </w:tc>
              <w:tc>
                <w:tcPr>
                  <w:tcW w:w="1418" w:type="dxa"/>
                  <w:tcMar>
                    <w:left w:w="57" w:type="dxa"/>
                    <w:right w:w="57" w:type="dxa"/>
                  </w:tcMar>
                </w:tcPr>
                <w:p w14:paraId="43E0BD8A" w14:textId="77777777" w:rsidR="00C05DB4" w:rsidRPr="00C124B7" w:rsidRDefault="00C05DB4" w:rsidP="00C05DB4">
                  <w:r w:rsidRPr="00C124B7">
                    <w:t>30/360</w:t>
                  </w:r>
                  <w:r>
                    <w:t xml:space="preserve"> f</w:t>
                  </w:r>
                  <w:r w:rsidRPr="00C124B7">
                    <w:t>rom pick list back page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</w:tcPr>
                <w:p w14:paraId="43E0BD8B" w14:textId="77777777" w:rsidR="00C05DB4" w:rsidRPr="00C124B7" w:rsidRDefault="00C05DB4" w:rsidP="00C05DB4"/>
              </w:tc>
            </w:tr>
            <w:tr w:rsidR="00C05DB4" w:rsidRPr="00C124B7" w14:paraId="43E0BD92" w14:textId="77777777" w:rsidTr="3F7D0D1B">
              <w:tc>
                <w:tcPr>
                  <w:tcW w:w="1253" w:type="dxa"/>
                  <w:tcMar>
                    <w:left w:w="57" w:type="dxa"/>
                    <w:right w:w="57" w:type="dxa"/>
                  </w:tcMar>
                </w:tcPr>
                <w:p w14:paraId="43E0BD8D" w14:textId="77777777" w:rsidR="00C05DB4" w:rsidRPr="00C124B7" w:rsidRDefault="00C05DB4" w:rsidP="00C05DB4">
                  <w:r w:rsidRPr="00C124B7">
                    <w:t>Short OR Long 1</w:t>
                  </w:r>
                  <w:r w:rsidRPr="00C124B7">
                    <w:rPr>
                      <w:vertAlign w:val="superscript"/>
                    </w:rPr>
                    <w:t>st</w:t>
                  </w:r>
                  <w:r w:rsidRPr="00C124B7">
                    <w:t xml:space="preserve"> Coupon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</w:tcPr>
                <w:p w14:paraId="43E0BD8E" w14:textId="77777777" w:rsidR="00C05DB4" w:rsidRPr="00C124B7" w:rsidRDefault="00C05DB4" w:rsidP="00C05DB4">
                  <w:r w:rsidRPr="00C124B7">
                    <w:t>Short OR Long 1</w:t>
                  </w:r>
                  <w:r w:rsidRPr="00C124B7">
                    <w:rPr>
                      <w:vertAlign w:val="superscript"/>
                    </w:rPr>
                    <w:t>st</w:t>
                  </w:r>
                  <w:r w:rsidRPr="00C124B7">
                    <w:t xml:space="preserve"> Coupon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</w:tcPr>
                <w:p w14:paraId="43E0BD8F" w14:textId="77777777" w:rsidR="00C05DB4" w:rsidRPr="00C124B7" w:rsidRDefault="00C05DB4" w:rsidP="00C05DB4">
                  <w:r w:rsidRPr="00C124B7">
                    <w:t>Act/Act Bond from pick list back page</w:t>
                  </w:r>
                </w:p>
              </w:tc>
              <w:tc>
                <w:tcPr>
                  <w:tcW w:w="1418" w:type="dxa"/>
                  <w:tcMar>
                    <w:left w:w="57" w:type="dxa"/>
                    <w:right w:w="57" w:type="dxa"/>
                  </w:tcMar>
                </w:tcPr>
                <w:p w14:paraId="43E0BD90" w14:textId="77777777" w:rsidR="00C05DB4" w:rsidRPr="00C124B7" w:rsidRDefault="00C05DB4" w:rsidP="00C05DB4">
                  <w:r w:rsidRPr="00C124B7">
                    <w:t>Act/Act Bond from pick list back page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</w:tcPr>
                <w:p w14:paraId="43E0BD91" w14:textId="77777777" w:rsidR="00C05DB4" w:rsidRPr="00C124B7" w:rsidRDefault="00C05DB4" w:rsidP="00C05DB4"/>
              </w:tc>
            </w:tr>
            <w:tr w:rsidR="00C05DB4" w:rsidRPr="00C124B7" w14:paraId="43E0BD98" w14:textId="77777777" w:rsidTr="3F7D0D1B">
              <w:tc>
                <w:tcPr>
                  <w:tcW w:w="1253" w:type="dxa"/>
                  <w:tcMar>
                    <w:left w:w="57" w:type="dxa"/>
                    <w:right w:w="57" w:type="dxa"/>
                  </w:tcMar>
                </w:tcPr>
                <w:p w14:paraId="43E0BD93" w14:textId="77777777" w:rsidR="00C05DB4" w:rsidRPr="00C124B7" w:rsidRDefault="00C05DB4" w:rsidP="00C05DB4">
                  <w:r w:rsidRPr="00C124B7">
                    <w:t>Euro Bond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</w:tcPr>
                <w:p w14:paraId="43E0BD94" w14:textId="77777777" w:rsidR="00C05DB4" w:rsidRPr="00C124B7" w:rsidRDefault="00C05DB4" w:rsidP="00C05DB4">
                  <w:r w:rsidRPr="00C124B7">
                    <w:t>Long 1</w:t>
                  </w:r>
                  <w:r w:rsidRPr="00C124B7">
                    <w:rPr>
                      <w:vertAlign w:val="superscript"/>
                    </w:rPr>
                    <w:t>st</w:t>
                  </w:r>
                  <w:r w:rsidRPr="00C124B7">
                    <w:t xml:space="preserve"> Coupon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</w:tcPr>
                <w:p w14:paraId="43E0BD95" w14:textId="77777777" w:rsidR="00C05DB4" w:rsidRPr="00C124B7" w:rsidRDefault="00C05DB4" w:rsidP="00C05DB4"/>
              </w:tc>
              <w:tc>
                <w:tcPr>
                  <w:tcW w:w="1418" w:type="dxa"/>
                  <w:tcMar>
                    <w:left w:w="57" w:type="dxa"/>
                    <w:right w:w="57" w:type="dxa"/>
                  </w:tcMar>
                </w:tcPr>
                <w:p w14:paraId="43E0BD96" w14:textId="77777777" w:rsidR="00C05DB4" w:rsidRPr="00C124B7" w:rsidRDefault="00C05DB4" w:rsidP="00C05DB4"/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</w:tcPr>
                <w:p w14:paraId="43E0BD97" w14:textId="1EC4AAA0" w:rsidR="00C05DB4" w:rsidRPr="00C124B7" w:rsidRDefault="00C05DB4" w:rsidP="00C05DB4">
                  <w:r>
                    <w:t>Act/Act Monetary from back page</w:t>
                  </w:r>
                </w:p>
              </w:tc>
            </w:tr>
            <w:tr w:rsidR="00C05DB4" w:rsidRPr="00C124B7" w14:paraId="43E0BD9E" w14:textId="77777777" w:rsidTr="3F7D0D1B">
              <w:tc>
                <w:tcPr>
                  <w:tcW w:w="1253" w:type="dxa"/>
                  <w:tcMar>
                    <w:left w:w="57" w:type="dxa"/>
                    <w:right w:w="57" w:type="dxa"/>
                  </w:tcMar>
                </w:tcPr>
                <w:p w14:paraId="43E0BD99" w14:textId="77777777" w:rsidR="00C05DB4" w:rsidRPr="00C124B7" w:rsidRDefault="00C05DB4" w:rsidP="00C05DB4">
                  <w:r w:rsidRPr="00C124B7">
                    <w:t>Short Last Coupon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</w:tcPr>
                <w:p w14:paraId="43E0BD9A" w14:textId="77777777" w:rsidR="00C05DB4" w:rsidRPr="00C124B7" w:rsidRDefault="00C05DB4" w:rsidP="00C05DB4">
                  <w:r w:rsidRPr="00C124B7">
                    <w:t xml:space="preserve">Short Last Coupon 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</w:tcPr>
                <w:p w14:paraId="43E0BD9B" w14:textId="77777777" w:rsidR="00C05DB4" w:rsidRPr="00C124B7" w:rsidRDefault="00C05DB4" w:rsidP="00C05DB4">
                  <w:r w:rsidRPr="00C124B7">
                    <w:t>30E/360 Unadjusted from pick list back page</w:t>
                  </w:r>
                </w:p>
              </w:tc>
              <w:tc>
                <w:tcPr>
                  <w:tcW w:w="1418" w:type="dxa"/>
                  <w:tcMar>
                    <w:left w:w="57" w:type="dxa"/>
                    <w:right w:w="57" w:type="dxa"/>
                  </w:tcMar>
                </w:tcPr>
                <w:p w14:paraId="43E0BD9C" w14:textId="77777777" w:rsidR="00C05DB4" w:rsidRPr="00C124B7" w:rsidRDefault="00C05DB4" w:rsidP="00C05DB4">
                  <w:r w:rsidRPr="00C124B7">
                    <w:t>30E/360 Unadjusted from pick list back page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</w:tcPr>
                <w:p w14:paraId="43E0BD9D" w14:textId="77777777" w:rsidR="00C05DB4" w:rsidRPr="00C124B7" w:rsidRDefault="00C05DB4" w:rsidP="00C05DB4">
                  <w:r w:rsidRPr="00C124B7">
                    <w:t>30E/360 Unadjusted from pick list back page</w:t>
                  </w:r>
                </w:p>
              </w:tc>
            </w:tr>
            <w:tr w:rsidR="00C05DB4" w:rsidRPr="00C124B7" w14:paraId="43E0BDA4" w14:textId="77777777" w:rsidTr="3F7D0D1B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253" w:type="dxa"/>
                  <w:tcMar>
                    <w:left w:w="57" w:type="dxa"/>
                    <w:right w:w="57" w:type="dxa"/>
                  </w:tcMar>
                </w:tcPr>
                <w:p w14:paraId="43E0BD9F" w14:textId="77777777" w:rsidR="00C05DB4" w:rsidRPr="00C124B7" w:rsidRDefault="00C05DB4" w:rsidP="00C05DB4">
                  <w:r w:rsidRPr="00C124B7">
                    <w:t>SPGB (Spanish bond)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</w:tcPr>
                <w:p w14:paraId="43E0BDA0" w14:textId="77777777" w:rsidR="00C05DB4" w:rsidRPr="00C124B7" w:rsidRDefault="00C05DB4" w:rsidP="00C05DB4">
                  <w:r w:rsidRPr="00C124B7">
                    <w:t>SPGB</w:t>
                  </w:r>
                </w:p>
              </w:tc>
              <w:tc>
                <w:tcPr>
                  <w:tcW w:w="1559" w:type="dxa"/>
                  <w:tcMar>
                    <w:left w:w="57" w:type="dxa"/>
                    <w:right w:w="57" w:type="dxa"/>
                  </w:tcMar>
                </w:tcPr>
                <w:p w14:paraId="43E0BDA1" w14:textId="77777777" w:rsidR="00C05DB4" w:rsidRPr="00C124B7" w:rsidRDefault="00C05DB4" w:rsidP="00C05DB4">
                  <w:r w:rsidRPr="00C124B7">
                    <w:t>Act/Act Bond from pick list front page</w:t>
                  </w:r>
                </w:p>
              </w:tc>
              <w:tc>
                <w:tcPr>
                  <w:tcW w:w="1418" w:type="dxa"/>
                  <w:tcMar>
                    <w:left w:w="57" w:type="dxa"/>
                    <w:right w:w="57" w:type="dxa"/>
                  </w:tcMar>
                </w:tcPr>
                <w:p w14:paraId="43E0BDA2" w14:textId="77777777" w:rsidR="00C05DB4" w:rsidRPr="00C124B7" w:rsidRDefault="00C05DB4" w:rsidP="00C05DB4">
                  <w:r w:rsidRPr="00C124B7">
                    <w:t>Act/Act Bond from pick list front page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</w:tcPr>
                <w:p w14:paraId="43E0BDA3" w14:textId="77777777" w:rsidR="00C05DB4" w:rsidRPr="00C124B7" w:rsidRDefault="00C05DB4" w:rsidP="00C05DB4"/>
              </w:tc>
            </w:tr>
          </w:tbl>
          <w:p w14:paraId="43E0BDA5" w14:textId="77777777" w:rsidR="00C05DB4" w:rsidRPr="00C05DB4" w:rsidRDefault="00C05DB4" w:rsidP="00C05DB4"/>
        </w:tc>
      </w:tr>
      <w:tr w:rsidR="00023C79" w:rsidRPr="00C124B7" w14:paraId="43E0BDA9" w14:textId="77777777" w:rsidTr="3F7D0D1B">
        <w:trPr>
          <w:cantSplit/>
        </w:trPr>
        <w:tc>
          <w:tcPr>
            <w:tcW w:w="2311" w:type="dxa"/>
          </w:tcPr>
          <w:p w14:paraId="43E0BDA7" w14:textId="5C593E0D" w:rsidR="00023C79" w:rsidRPr="00C05DB4" w:rsidRDefault="00023C79" w:rsidP="00C05DB4"/>
        </w:tc>
        <w:tc>
          <w:tcPr>
            <w:tcW w:w="7040" w:type="dxa"/>
          </w:tcPr>
          <w:p w14:paraId="43E0BDA8" w14:textId="66AE5EC6" w:rsidR="00023C79" w:rsidRPr="00C05DB4" w:rsidRDefault="00023C79" w:rsidP="00C05DB4"/>
        </w:tc>
      </w:tr>
      <w:tr w:rsidR="00023C79" w:rsidRPr="00C124B7" w14:paraId="43E0BDAB" w14:textId="77777777" w:rsidTr="3F7D0D1B">
        <w:trPr>
          <w:cantSplit/>
        </w:trPr>
        <w:tc>
          <w:tcPr>
            <w:tcW w:w="9351" w:type="dxa"/>
            <w:gridSpan w:val="2"/>
            <w:shd w:val="clear" w:color="auto" w:fill="EEECE1" w:themeFill="background2"/>
          </w:tcPr>
          <w:p w14:paraId="43E0BDAA" w14:textId="77777777" w:rsidR="00023C79" w:rsidRPr="004213F8" w:rsidRDefault="00023C79" w:rsidP="004716F5">
            <w:pPr>
              <w:rPr>
                <w:highlight w:val="yellow"/>
              </w:rPr>
            </w:pPr>
            <w:r w:rsidRPr="00F6552C">
              <w:rPr>
                <w:b/>
              </w:rPr>
              <w:t>A. Japan</w:t>
            </w:r>
            <w:r w:rsidR="00C05DB4" w:rsidRPr="00F6552C">
              <w:rPr>
                <w:b/>
              </w:rPr>
              <w:t xml:space="preserve"> – for Japanese bonds</w:t>
            </w:r>
            <w:r w:rsidR="004213F8" w:rsidRPr="00F6552C">
              <w:rPr>
                <w:b/>
              </w:rPr>
              <w:t xml:space="preserve"> only</w:t>
            </w:r>
          </w:p>
        </w:tc>
      </w:tr>
      <w:tr w:rsidR="00023C79" w:rsidRPr="00C124B7" w14:paraId="43E0BDAE" w14:textId="77777777" w:rsidTr="3F7D0D1B">
        <w:trPr>
          <w:cantSplit/>
        </w:trPr>
        <w:tc>
          <w:tcPr>
            <w:tcW w:w="2311" w:type="dxa"/>
          </w:tcPr>
          <w:p w14:paraId="43E0BDAC" w14:textId="77777777" w:rsidR="00023C79" w:rsidRPr="00280F82" w:rsidRDefault="00023C79" w:rsidP="004716F5">
            <w:r w:rsidRPr="00C124B7">
              <w:t>Yield to Price Rounding</w:t>
            </w:r>
          </w:p>
        </w:tc>
        <w:tc>
          <w:tcPr>
            <w:tcW w:w="7040" w:type="dxa"/>
          </w:tcPr>
          <w:p w14:paraId="43E0BDAD" w14:textId="77777777" w:rsidR="00023C79" w:rsidRPr="00280F82" w:rsidRDefault="00023C79" w:rsidP="004716F5">
            <w:r w:rsidRPr="00C124B7">
              <w:t>5</w:t>
            </w:r>
          </w:p>
        </w:tc>
      </w:tr>
      <w:tr w:rsidR="00023C79" w:rsidRPr="00C124B7" w14:paraId="43E0BDB1" w14:textId="77777777" w:rsidTr="3F7D0D1B">
        <w:trPr>
          <w:cantSplit/>
        </w:trPr>
        <w:tc>
          <w:tcPr>
            <w:tcW w:w="2311" w:type="dxa"/>
          </w:tcPr>
          <w:p w14:paraId="43E0BDAF" w14:textId="77777777" w:rsidR="00023C79" w:rsidRPr="00280F82" w:rsidRDefault="00023C79" w:rsidP="004716F5">
            <w:r w:rsidRPr="00C124B7">
              <w:t>Instrument Group</w:t>
            </w:r>
          </w:p>
        </w:tc>
        <w:tc>
          <w:tcPr>
            <w:tcW w:w="7040" w:type="dxa"/>
          </w:tcPr>
          <w:p w14:paraId="43E0BDB0" w14:textId="77777777" w:rsidR="00023C79" w:rsidRPr="00280F82" w:rsidRDefault="00023C79" w:rsidP="004716F5">
            <w:r w:rsidRPr="00C124B7">
              <w:t>Sovereign</w:t>
            </w:r>
          </w:p>
        </w:tc>
      </w:tr>
      <w:tr w:rsidR="00023C79" w:rsidRPr="00C124B7" w14:paraId="43E0BDB4" w14:textId="77777777" w:rsidTr="3F7D0D1B">
        <w:trPr>
          <w:cantSplit/>
        </w:trPr>
        <w:tc>
          <w:tcPr>
            <w:tcW w:w="2311" w:type="dxa"/>
          </w:tcPr>
          <w:p w14:paraId="43E0BDB2" w14:textId="77777777" w:rsidR="00023C79" w:rsidRPr="00280F82" w:rsidRDefault="00023C79" w:rsidP="004716F5">
            <w:r w:rsidRPr="00C124B7">
              <w:t>Yield Calc Basis</w:t>
            </w:r>
          </w:p>
        </w:tc>
        <w:tc>
          <w:tcPr>
            <w:tcW w:w="7040" w:type="dxa"/>
          </w:tcPr>
          <w:p w14:paraId="43E0BDB3" w14:textId="77777777" w:rsidR="00023C79" w:rsidRPr="00280F82" w:rsidRDefault="00023C79" w:rsidP="004716F5">
            <w:r w:rsidRPr="00C124B7">
              <w:t>Act/365 Unadjusted</w:t>
            </w:r>
          </w:p>
        </w:tc>
      </w:tr>
      <w:tr w:rsidR="00023C79" w:rsidRPr="00C124B7" w14:paraId="43E0BDB7" w14:textId="77777777" w:rsidTr="3F7D0D1B">
        <w:trPr>
          <w:cantSplit/>
        </w:trPr>
        <w:tc>
          <w:tcPr>
            <w:tcW w:w="2311" w:type="dxa"/>
          </w:tcPr>
          <w:p w14:paraId="43E0BDB5" w14:textId="77777777" w:rsidR="00023C79" w:rsidRPr="00280F82" w:rsidRDefault="00023C79" w:rsidP="004716F5">
            <w:r w:rsidRPr="00C124B7">
              <w:t>Accrual Calc Basis</w:t>
            </w:r>
          </w:p>
        </w:tc>
        <w:tc>
          <w:tcPr>
            <w:tcW w:w="7040" w:type="dxa"/>
          </w:tcPr>
          <w:p w14:paraId="43E0BDB6" w14:textId="77777777" w:rsidR="00023C79" w:rsidRPr="00280F82" w:rsidRDefault="00023C79" w:rsidP="004716F5">
            <w:r w:rsidRPr="00C124B7">
              <w:t>Act/365 Unadjusted</w:t>
            </w:r>
          </w:p>
        </w:tc>
      </w:tr>
      <w:tr w:rsidR="00023C79" w:rsidRPr="00C124B7" w14:paraId="43E0BDBA" w14:textId="77777777" w:rsidTr="3F7D0D1B">
        <w:trPr>
          <w:cantSplit/>
        </w:trPr>
        <w:tc>
          <w:tcPr>
            <w:tcW w:w="2311" w:type="dxa"/>
          </w:tcPr>
          <w:p w14:paraId="43E0BDB8" w14:textId="77777777" w:rsidR="00023C79" w:rsidRPr="00280F82" w:rsidRDefault="00023C79" w:rsidP="004716F5">
            <w:r w:rsidRPr="00C124B7">
              <w:lastRenderedPageBreak/>
              <w:t>Accrual Rounding</w:t>
            </w:r>
          </w:p>
        </w:tc>
        <w:tc>
          <w:tcPr>
            <w:tcW w:w="7040" w:type="dxa"/>
          </w:tcPr>
          <w:p w14:paraId="43E0BDB9" w14:textId="77777777" w:rsidR="00023C79" w:rsidRPr="00280F82" w:rsidRDefault="00023C79" w:rsidP="004716F5">
            <w:r w:rsidRPr="00C124B7">
              <w:t>7</w:t>
            </w:r>
          </w:p>
        </w:tc>
      </w:tr>
      <w:tr w:rsidR="00023C79" w:rsidRPr="00C124B7" w14:paraId="43E0BDBD" w14:textId="77777777" w:rsidTr="3F7D0D1B">
        <w:trPr>
          <w:cantSplit/>
        </w:trPr>
        <w:tc>
          <w:tcPr>
            <w:tcW w:w="2311" w:type="dxa"/>
          </w:tcPr>
          <w:p w14:paraId="43E0BDBB" w14:textId="77777777" w:rsidR="00023C79" w:rsidRPr="00280F82" w:rsidRDefault="00023C79" w:rsidP="004716F5">
            <w:r w:rsidRPr="00C124B7">
              <w:t>Accrual Rounding Method</w:t>
            </w:r>
          </w:p>
        </w:tc>
        <w:tc>
          <w:tcPr>
            <w:tcW w:w="7040" w:type="dxa"/>
          </w:tcPr>
          <w:p w14:paraId="43E0BDBC" w14:textId="77777777" w:rsidR="00023C79" w:rsidRPr="00280F82" w:rsidRDefault="00023C79" w:rsidP="004716F5">
            <w:r w:rsidRPr="00C124B7">
              <w:t>Truncate Rate Factor</w:t>
            </w:r>
          </w:p>
        </w:tc>
      </w:tr>
      <w:tr w:rsidR="00023C79" w:rsidRPr="00C124B7" w14:paraId="43E0BDC0" w14:textId="77777777" w:rsidTr="3F7D0D1B">
        <w:trPr>
          <w:cantSplit/>
        </w:trPr>
        <w:tc>
          <w:tcPr>
            <w:tcW w:w="2311" w:type="dxa"/>
          </w:tcPr>
          <w:p w14:paraId="43E0BDBE" w14:textId="77777777" w:rsidR="00023C79" w:rsidRPr="00280F82" w:rsidRDefault="00023C79" w:rsidP="004716F5">
            <w:r w:rsidRPr="00C124B7">
              <w:t>Repo Index</w:t>
            </w:r>
          </w:p>
        </w:tc>
        <w:tc>
          <w:tcPr>
            <w:tcW w:w="7040" w:type="dxa"/>
          </w:tcPr>
          <w:p w14:paraId="43E0BDBF" w14:textId="77777777" w:rsidR="00023C79" w:rsidRPr="00280F82" w:rsidRDefault="00023C79" w:rsidP="004716F5">
            <w:r w:rsidRPr="00C124B7">
              <w:t>SWAP.JPY</w:t>
            </w:r>
          </w:p>
        </w:tc>
      </w:tr>
      <w:tr w:rsidR="00023C79" w:rsidRPr="00C124B7" w14:paraId="43E0BDC3" w14:textId="77777777" w:rsidTr="3F7D0D1B">
        <w:trPr>
          <w:cantSplit/>
        </w:trPr>
        <w:tc>
          <w:tcPr>
            <w:tcW w:w="2311" w:type="dxa"/>
          </w:tcPr>
          <w:p w14:paraId="43E0BDC1" w14:textId="77777777" w:rsidR="00023C79" w:rsidRPr="00280F82" w:rsidRDefault="00023C79" w:rsidP="004716F5">
            <w:r w:rsidRPr="00C124B7">
              <w:t xml:space="preserve">Final Coupon </w:t>
            </w:r>
            <w:proofErr w:type="spellStart"/>
            <w:r w:rsidRPr="00C124B7">
              <w:t>Yld</w:t>
            </w:r>
            <w:proofErr w:type="spellEnd"/>
            <w:r w:rsidRPr="00C124B7">
              <w:t xml:space="preserve"> Basis</w:t>
            </w:r>
          </w:p>
        </w:tc>
        <w:tc>
          <w:tcPr>
            <w:tcW w:w="7040" w:type="dxa"/>
          </w:tcPr>
          <w:p w14:paraId="43E0BDC2" w14:textId="77777777" w:rsidR="00023C79" w:rsidRPr="00280F82" w:rsidRDefault="00023C79" w:rsidP="004716F5">
            <w:r w:rsidRPr="00C124B7">
              <w:t>Act/365 Unadjusted</w:t>
            </w:r>
          </w:p>
        </w:tc>
      </w:tr>
      <w:tr w:rsidR="00023C79" w:rsidRPr="00C124B7" w14:paraId="43E0BDC5" w14:textId="77777777" w:rsidTr="3F7D0D1B">
        <w:trPr>
          <w:cantSplit/>
        </w:trPr>
        <w:tc>
          <w:tcPr>
            <w:tcW w:w="9351" w:type="dxa"/>
            <w:gridSpan w:val="2"/>
            <w:shd w:val="clear" w:color="auto" w:fill="EEECE1" w:themeFill="background2"/>
          </w:tcPr>
          <w:p w14:paraId="43E0BDC4" w14:textId="77777777" w:rsidR="00023C79" w:rsidRPr="00C05DB4" w:rsidRDefault="00023C79" w:rsidP="004716F5">
            <w:r w:rsidRPr="00C05DB4">
              <w:rPr>
                <w:b/>
              </w:rPr>
              <w:t>B. Spain</w:t>
            </w:r>
            <w:r w:rsidR="00C05DB4" w:rsidRPr="00C05DB4">
              <w:rPr>
                <w:b/>
              </w:rPr>
              <w:t xml:space="preserve"> – for Spanish bonds</w:t>
            </w:r>
          </w:p>
        </w:tc>
      </w:tr>
      <w:tr w:rsidR="00023C79" w:rsidRPr="00C124B7" w14:paraId="43E0BDC8" w14:textId="77777777" w:rsidTr="3F7D0D1B">
        <w:trPr>
          <w:cantSplit/>
        </w:trPr>
        <w:tc>
          <w:tcPr>
            <w:tcW w:w="2311" w:type="dxa"/>
          </w:tcPr>
          <w:p w14:paraId="43E0BDC6" w14:textId="77777777" w:rsidR="00023C79" w:rsidRPr="00C124B7" w:rsidRDefault="00023C79" w:rsidP="004716F5">
            <w:r w:rsidRPr="00C124B7">
              <w:t>Yield to Price Rounding</w:t>
            </w:r>
          </w:p>
        </w:tc>
        <w:tc>
          <w:tcPr>
            <w:tcW w:w="7040" w:type="dxa"/>
          </w:tcPr>
          <w:p w14:paraId="43E0BDC7" w14:textId="77777777" w:rsidR="00023C79" w:rsidRPr="00746237" w:rsidRDefault="00023C79" w:rsidP="004716F5">
            <w:r w:rsidRPr="00746237">
              <w:t>9</w:t>
            </w:r>
          </w:p>
        </w:tc>
      </w:tr>
      <w:tr w:rsidR="00023C79" w:rsidRPr="00C124B7" w14:paraId="43E0BDCB" w14:textId="77777777" w:rsidTr="3F7D0D1B">
        <w:trPr>
          <w:cantSplit/>
        </w:trPr>
        <w:tc>
          <w:tcPr>
            <w:tcW w:w="2311" w:type="dxa"/>
          </w:tcPr>
          <w:p w14:paraId="43E0BDC9" w14:textId="77777777" w:rsidR="00023C79" w:rsidRPr="00C124B7" w:rsidRDefault="00023C79" w:rsidP="004716F5">
            <w:r w:rsidRPr="00C124B7">
              <w:t xml:space="preserve">Final </w:t>
            </w:r>
            <w:proofErr w:type="spellStart"/>
            <w:r w:rsidRPr="00C124B7">
              <w:t>Cpn</w:t>
            </w:r>
            <w:proofErr w:type="spellEnd"/>
            <w:r w:rsidRPr="00C124B7">
              <w:t xml:space="preserve"> </w:t>
            </w:r>
            <w:proofErr w:type="spellStart"/>
            <w:r w:rsidRPr="00C124B7">
              <w:t>Yld</w:t>
            </w:r>
            <w:proofErr w:type="spellEnd"/>
            <w:r w:rsidRPr="00C124B7">
              <w:t xml:space="preserve"> to </w:t>
            </w:r>
            <w:proofErr w:type="spellStart"/>
            <w:r w:rsidRPr="00C124B7">
              <w:t>Px</w:t>
            </w:r>
            <w:proofErr w:type="spellEnd"/>
            <w:r w:rsidRPr="00C124B7">
              <w:t xml:space="preserve"> R</w:t>
            </w:r>
            <w:r>
              <w:t>ou</w:t>
            </w:r>
            <w:r w:rsidRPr="00C124B7">
              <w:t>nding</w:t>
            </w:r>
          </w:p>
        </w:tc>
        <w:tc>
          <w:tcPr>
            <w:tcW w:w="7040" w:type="dxa"/>
          </w:tcPr>
          <w:p w14:paraId="43E0BDCA" w14:textId="77777777" w:rsidR="00023C79" w:rsidRPr="00746237" w:rsidRDefault="00023C79" w:rsidP="004716F5">
            <w:r w:rsidRPr="00746237">
              <w:t>9</w:t>
            </w:r>
          </w:p>
        </w:tc>
      </w:tr>
      <w:tr w:rsidR="00023C79" w:rsidRPr="00C124B7" w14:paraId="43E0BDCF" w14:textId="77777777" w:rsidTr="3F7D0D1B">
        <w:trPr>
          <w:cantSplit/>
        </w:trPr>
        <w:tc>
          <w:tcPr>
            <w:tcW w:w="2311" w:type="dxa"/>
          </w:tcPr>
          <w:p w14:paraId="43E0BDCC" w14:textId="77777777" w:rsidR="00023C79" w:rsidRPr="00C124B7" w:rsidRDefault="00023C79" w:rsidP="004716F5">
            <w:r w:rsidRPr="00C124B7">
              <w:t>Yield Calc Method</w:t>
            </w:r>
          </w:p>
        </w:tc>
        <w:tc>
          <w:tcPr>
            <w:tcW w:w="7040" w:type="dxa"/>
          </w:tcPr>
          <w:p w14:paraId="43E0BDCD" w14:textId="77777777" w:rsidR="008A4CB1" w:rsidRDefault="00023C79" w:rsidP="008A4CB1">
            <w:r w:rsidRPr="00C124B7">
              <w:rPr>
                <w:b/>
              </w:rPr>
              <w:t>True</w:t>
            </w:r>
            <w:r w:rsidRPr="00C124B7">
              <w:t xml:space="preserve"> if the end date is a non-business day</w:t>
            </w:r>
            <w:r w:rsidR="008A4CB1">
              <w:t xml:space="preserve"> </w:t>
            </w:r>
            <w:r w:rsidRPr="00C124B7">
              <w:t>(i.e., holidays, weekend)</w:t>
            </w:r>
            <w:r w:rsidR="008A4CB1">
              <w:t>.</w:t>
            </w:r>
          </w:p>
          <w:p w14:paraId="43E0BDCE" w14:textId="77777777" w:rsidR="00023C79" w:rsidRPr="00C124B7" w:rsidRDefault="00023C79" w:rsidP="008A4CB1">
            <w:r w:rsidRPr="00C124B7">
              <w:rPr>
                <w:b/>
              </w:rPr>
              <w:t>Standard</w:t>
            </w:r>
            <w:r w:rsidRPr="00C124B7">
              <w:t xml:space="preserve"> if the date is a regular day</w:t>
            </w:r>
            <w:r w:rsidR="008A4CB1">
              <w:t>.</w:t>
            </w:r>
          </w:p>
        </w:tc>
      </w:tr>
      <w:tr w:rsidR="00023C79" w:rsidRPr="00C124B7" w14:paraId="43E0BDD2" w14:textId="77777777" w:rsidTr="3F7D0D1B">
        <w:trPr>
          <w:cantSplit/>
        </w:trPr>
        <w:tc>
          <w:tcPr>
            <w:tcW w:w="2311" w:type="dxa"/>
          </w:tcPr>
          <w:p w14:paraId="43E0BDD0" w14:textId="77777777" w:rsidR="00023C79" w:rsidRPr="00C124B7" w:rsidRDefault="00023C79" w:rsidP="004716F5">
            <w:r w:rsidRPr="00C124B7">
              <w:t xml:space="preserve">Final Coupon </w:t>
            </w:r>
            <w:proofErr w:type="spellStart"/>
            <w:r w:rsidRPr="00C124B7">
              <w:t>Yld</w:t>
            </w:r>
            <w:proofErr w:type="spellEnd"/>
            <w:r w:rsidRPr="00C124B7">
              <w:t xml:space="preserve"> Method</w:t>
            </w:r>
          </w:p>
        </w:tc>
        <w:tc>
          <w:tcPr>
            <w:tcW w:w="7040" w:type="dxa"/>
          </w:tcPr>
          <w:p w14:paraId="43E0BDD1" w14:textId="77777777" w:rsidR="00023C79" w:rsidRPr="00746237" w:rsidRDefault="00023C79" w:rsidP="008A4CB1">
            <w:r w:rsidRPr="00746237">
              <w:t>Normal</w:t>
            </w:r>
          </w:p>
        </w:tc>
      </w:tr>
      <w:tr w:rsidR="00023C79" w:rsidRPr="00C124B7" w14:paraId="43E0BDD4" w14:textId="77777777" w:rsidTr="3F7D0D1B">
        <w:trPr>
          <w:cantSplit/>
        </w:trPr>
        <w:tc>
          <w:tcPr>
            <w:tcW w:w="9351" w:type="dxa"/>
            <w:gridSpan w:val="2"/>
            <w:shd w:val="clear" w:color="auto" w:fill="EEECE1" w:themeFill="background2"/>
          </w:tcPr>
          <w:p w14:paraId="43E0BDD3" w14:textId="77777777" w:rsidR="00023C79" w:rsidRPr="00C05DB4" w:rsidRDefault="00023C79" w:rsidP="004716F5">
            <w:r w:rsidRPr="00C05DB4">
              <w:rPr>
                <w:b/>
              </w:rPr>
              <w:t>C. Austria</w:t>
            </w:r>
            <w:r w:rsidR="00C05DB4" w:rsidRPr="00C05DB4">
              <w:rPr>
                <w:b/>
              </w:rPr>
              <w:t xml:space="preserve"> – for Austrian bonds</w:t>
            </w:r>
          </w:p>
        </w:tc>
      </w:tr>
      <w:tr w:rsidR="00023C79" w:rsidRPr="00C124B7" w14:paraId="43E0BDD7" w14:textId="77777777" w:rsidTr="3F7D0D1B">
        <w:trPr>
          <w:cantSplit/>
        </w:trPr>
        <w:tc>
          <w:tcPr>
            <w:tcW w:w="2311" w:type="dxa"/>
          </w:tcPr>
          <w:p w14:paraId="43E0BDD5" w14:textId="77777777" w:rsidR="00023C79" w:rsidRPr="00C05DB4" w:rsidRDefault="00023C79" w:rsidP="004716F5">
            <w:r w:rsidRPr="00C05DB4">
              <w:t xml:space="preserve">Final Coupon </w:t>
            </w:r>
            <w:proofErr w:type="spellStart"/>
            <w:r w:rsidRPr="00C05DB4">
              <w:t>Yld</w:t>
            </w:r>
            <w:proofErr w:type="spellEnd"/>
            <w:r w:rsidRPr="00C05DB4">
              <w:t xml:space="preserve"> Method</w:t>
            </w:r>
          </w:p>
        </w:tc>
        <w:tc>
          <w:tcPr>
            <w:tcW w:w="7040" w:type="dxa"/>
          </w:tcPr>
          <w:p w14:paraId="43E0BDD6" w14:textId="77777777" w:rsidR="00023C79" w:rsidRPr="00746237" w:rsidRDefault="008A4CB1" w:rsidP="004716F5">
            <w:r w:rsidRPr="00746237">
              <w:t>Normal</w:t>
            </w:r>
          </w:p>
        </w:tc>
      </w:tr>
      <w:tr w:rsidR="00023C79" w:rsidRPr="00C124B7" w14:paraId="43E0BDD9" w14:textId="77777777" w:rsidTr="3F7D0D1B">
        <w:trPr>
          <w:cantSplit/>
        </w:trPr>
        <w:tc>
          <w:tcPr>
            <w:tcW w:w="9351" w:type="dxa"/>
            <w:gridSpan w:val="2"/>
            <w:shd w:val="clear" w:color="auto" w:fill="EEECE1" w:themeFill="background2"/>
          </w:tcPr>
          <w:p w14:paraId="43E0BDD8" w14:textId="77777777" w:rsidR="00023C79" w:rsidRPr="00C05DB4" w:rsidRDefault="00023C79" w:rsidP="004716F5">
            <w:r w:rsidRPr="00C05DB4">
              <w:rPr>
                <w:b/>
              </w:rPr>
              <w:t>D. Zero coupon</w:t>
            </w:r>
            <w:r w:rsidR="00C05DB4" w:rsidRPr="00C05DB4">
              <w:rPr>
                <w:b/>
              </w:rPr>
              <w:t xml:space="preserve"> – for zero coupon bonds</w:t>
            </w:r>
          </w:p>
        </w:tc>
      </w:tr>
      <w:tr w:rsidR="00023C79" w:rsidRPr="00C124B7" w14:paraId="43E0BDDC" w14:textId="77777777" w:rsidTr="3F7D0D1B">
        <w:trPr>
          <w:cantSplit/>
        </w:trPr>
        <w:tc>
          <w:tcPr>
            <w:tcW w:w="2311" w:type="dxa"/>
          </w:tcPr>
          <w:p w14:paraId="43E0BDDA" w14:textId="77777777" w:rsidR="00023C79" w:rsidRPr="00C124B7" w:rsidRDefault="00023C79" w:rsidP="004716F5">
            <w:r w:rsidRPr="00C124B7">
              <w:t>Accrual Calc Method</w:t>
            </w:r>
          </w:p>
        </w:tc>
        <w:tc>
          <w:tcPr>
            <w:tcW w:w="7040" w:type="dxa"/>
          </w:tcPr>
          <w:p w14:paraId="43E0BDDB" w14:textId="72860771" w:rsidR="00DC65F4" w:rsidRPr="00746237" w:rsidRDefault="00023C79" w:rsidP="004716F5">
            <w:r w:rsidRPr="00746237">
              <w:t>Zero Coupon Accretion</w:t>
            </w:r>
          </w:p>
        </w:tc>
      </w:tr>
      <w:tr w:rsidR="00DC65F4" w:rsidRPr="00C124B7" w14:paraId="3F06759C" w14:textId="77777777" w:rsidTr="3F7D0D1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311" w:type="dxa"/>
          </w:tcPr>
          <w:p w14:paraId="4B11C3D8" w14:textId="605036D6" w:rsidR="00DC65F4" w:rsidRPr="00DC65F4" w:rsidRDefault="00DC65F4" w:rsidP="004716F5">
            <w:pPr>
              <w:rPr>
                <w:b/>
                <w:bCs/>
                <w:highlight w:val="yellow"/>
              </w:rPr>
            </w:pPr>
            <w:r w:rsidRPr="00DC65F4">
              <w:rPr>
                <w:b/>
                <w:bCs/>
                <w:highlight w:val="yellow"/>
              </w:rPr>
              <w:lastRenderedPageBreak/>
              <w:t>E. UK GOVT BOND</w:t>
            </w:r>
          </w:p>
        </w:tc>
        <w:tc>
          <w:tcPr>
            <w:tcW w:w="7040" w:type="dxa"/>
          </w:tcPr>
          <w:p w14:paraId="76C4E752" w14:textId="733E185C" w:rsidR="00DC65F4" w:rsidRDefault="00DC65F4" w:rsidP="004716F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Ensure </w:t>
            </w:r>
            <w:r w:rsidR="008904E7">
              <w:rPr>
                <w:highlight w:val="yellow"/>
              </w:rPr>
              <w:t xml:space="preserve">ex coupon days=7 and </w:t>
            </w:r>
            <w:proofErr w:type="spellStart"/>
            <w:r w:rsidR="008904E7">
              <w:rPr>
                <w:highlight w:val="yellow"/>
              </w:rPr>
              <w:t>excoupon</w:t>
            </w:r>
            <w:proofErr w:type="spellEnd"/>
            <w:r w:rsidR="008904E7">
              <w:rPr>
                <w:highlight w:val="yellow"/>
              </w:rPr>
              <w:t xml:space="preserve"> treatment=Business days</w:t>
            </w:r>
          </w:p>
          <w:p w14:paraId="03932531" w14:textId="1457C477" w:rsidR="00DC65F4" w:rsidRPr="00DC65F4" w:rsidRDefault="008904E7" w:rsidP="004716F5">
            <w:pPr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55ED2ED" wp14:editId="49DBE7C8">
                  <wp:extent cx="4333240" cy="37572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240" cy="375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0BDDD" w14:textId="77777777" w:rsidR="001A6226" w:rsidRDefault="001A6226" w:rsidP="007D6DBA">
      <w:pPr>
        <w:pStyle w:val="NumListdocs"/>
        <w:numPr>
          <w:ilvl w:val="0"/>
          <w:numId w:val="0"/>
        </w:numPr>
        <w:ind w:left="1440"/>
      </w:pPr>
    </w:p>
    <w:p w14:paraId="43E0BDDE" w14:textId="77777777" w:rsidR="00023C79" w:rsidRPr="00C124B7" w:rsidRDefault="00023C79" w:rsidP="00000A68">
      <w:pPr>
        <w:pStyle w:val="NumListdocs"/>
        <w:numPr>
          <w:ilvl w:val="1"/>
          <w:numId w:val="4"/>
        </w:numPr>
      </w:pPr>
      <w:r w:rsidRPr="00C124B7">
        <w:t>If the new bond is missing information such as the coupon or maturity date</w:t>
      </w:r>
      <w:r w:rsidR="00000A68">
        <w:t>, then on</w:t>
      </w:r>
      <w:r w:rsidRPr="00C124B7">
        <w:t xml:space="preserve"> the </w:t>
      </w:r>
      <w:r w:rsidRPr="00000A68">
        <w:rPr>
          <w:b/>
        </w:rPr>
        <w:t>Authorization</w:t>
      </w:r>
      <w:r w:rsidRPr="00C124B7">
        <w:t xml:space="preserve"> page</w:t>
      </w:r>
      <w:r w:rsidR="00000A68">
        <w:t>, u</w:t>
      </w:r>
      <w:r w:rsidRPr="00C124B7">
        <w:t xml:space="preserve">nder </w:t>
      </w:r>
      <w:r w:rsidRPr="00000A68">
        <w:rPr>
          <w:b/>
        </w:rPr>
        <w:t>Instrument Info</w:t>
      </w:r>
      <w:r w:rsidR="00000A68">
        <w:t>, from</w:t>
      </w:r>
      <w:r w:rsidRPr="00C124B7">
        <w:t xml:space="preserve"> the </w:t>
      </w:r>
      <w:r w:rsidRPr="00000A68">
        <w:rPr>
          <w:b/>
        </w:rPr>
        <w:t>Configuration Status</w:t>
      </w:r>
      <w:r w:rsidRPr="00C124B7">
        <w:t xml:space="preserve"> </w:t>
      </w:r>
      <w:r w:rsidR="00000A68">
        <w:t>list, select</w:t>
      </w:r>
      <w:r w:rsidRPr="00C124B7">
        <w:t xml:space="preserve"> </w:t>
      </w:r>
      <w:r w:rsidRPr="00000A68">
        <w:rPr>
          <w:b/>
        </w:rPr>
        <w:t>Incomplete</w:t>
      </w:r>
      <w:r w:rsidRPr="00C124B7">
        <w:t>.</w:t>
      </w:r>
    </w:p>
    <w:p w14:paraId="43E0BDDF" w14:textId="77777777" w:rsidR="00023C79" w:rsidRPr="007B4E67" w:rsidRDefault="00023C79" w:rsidP="00000A68">
      <w:pPr>
        <w:pStyle w:val="NumListdocs"/>
        <w:numPr>
          <w:ilvl w:val="1"/>
          <w:numId w:val="4"/>
        </w:numPr>
      </w:pPr>
      <w:r w:rsidRPr="007B4E67">
        <w:t xml:space="preserve">On the </w:t>
      </w:r>
      <w:r w:rsidRPr="00000A68">
        <w:rPr>
          <w:b/>
        </w:rPr>
        <w:t>Profile</w:t>
      </w:r>
      <w:r w:rsidR="00000A68">
        <w:t xml:space="preserve"> tab, m</w:t>
      </w:r>
      <w:r w:rsidR="00000A68" w:rsidRPr="00000A68">
        <w:rPr>
          <w:rFonts w:eastAsia="Calibri"/>
        </w:rPr>
        <w:t>atch</w:t>
      </w:r>
      <w:r w:rsidRPr="00000A68">
        <w:rPr>
          <w:rFonts w:eastAsia="Calibri"/>
        </w:rPr>
        <w:t xml:space="preserve"> the last payment date </w:t>
      </w:r>
      <w:r w:rsidR="00000A68" w:rsidRPr="00000A68">
        <w:rPr>
          <w:rFonts w:eastAsia="Calibri"/>
        </w:rPr>
        <w:t xml:space="preserve">to </w:t>
      </w:r>
      <w:r w:rsidRPr="00000A68">
        <w:rPr>
          <w:rFonts w:eastAsia="Calibri"/>
        </w:rPr>
        <w:t xml:space="preserve">the Maturity Date on </w:t>
      </w:r>
      <w:r w:rsidR="00000A68" w:rsidRPr="00000A68">
        <w:rPr>
          <w:rFonts w:eastAsia="Calibri"/>
        </w:rPr>
        <w:t>the</w:t>
      </w:r>
      <w:r w:rsidRPr="00000A68">
        <w:rPr>
          <w:rFonts w:eastAsia="Calibri"/>
        </w:rPr>
        <w:t xml:space="preserve"> BBG DES page</w:t>
      </w:r>
      <w:r w:rsidR="00000A68" w:rsidRPr="00000A68">
        <w:rPr>
          <w:rFonts w:eastAsia="Calibri"/>
        </w:rPr>
        <w:t>.</w:t>
      </w:r>
    </w:p>
    <w:p w14:paraId="43E0BDE0" w14:textId="77777777" w:rsidR="001A6226" w:rsidRPr="007D6DBA" w:rsidRDefault="00000A68" w:rsidP="00023C79">
      <w:pPr>
        <w:pStyle w:val="NumListdocs"/>
        <w:numPr>
          <w:ilvl w:val="1"/>
          <w:numId w:val="4"/>
        </w:numPr>
      </w:pPr>
      <w:r w:rsidRPr="00000A68">
        <w:rPr>
          <w:rFonts w:eastAsia="Calibri"/>
        </w:rPr>
        <w:t>Match</w:t>
      </w:r>
      <w:r w:rsidR="00023C79" w:rsidRPr="00000A68">
        <w:rPr>
          <w:rFonts w:eastAsia="Calibri"/>
        </w:rPr>
        <w:t xml:space="preserve"> the Payment amounts to the BBG cashflow projections.</w:t>
      </w:r>
      <w:r w:rsidRPr="00000A68">
        <w:rPr>
          <w:rFonts w:eastAsia="Calibri"/>
        </w:rPr>
        <w:br/>
        <w:t>If they do not match, this could be a Euroclear issue.</w:t>
      </w:r>
    </w:p>
    <w:p w14:paraId="43E0BDE1" w14:textId="77777777" w:rsidR="00023C79" w:rsidRDefault="00000A68" w:rsidP="007D6DBA">
      <w:pPr>
        <w:pStyle w:val="NumListdocs"/>
        <w:numPr>
          <w:ilvl w:val="0"/>
          <w:numId w:val="0"/>
        </w:numPr>
        <w:ind w:left="1440"/>
      </w:pPr>
      <w:r w:rsidRPr="00000A68">
        <w:rPr>
          <w:rFonts w:eastAsia="Calibri"/>
        </w:rPr>
        <w:t>T</w:t>
      </w:r>
      <w:r w:rsidR="00023C79" w:rsidRPr="00C124B7">
        <w:t>he Bank of Canada has an ongoing problem with coup</w:t>
      </w:r>
      <w:r w:rsidR="00023C79">
        <w:t>ons settling through Euroclear.</w:t>
      </w:r>
      <w:r w:rsidR="00023C79" w:rsidRPr="00C124B7">
        <w:t xml:space="preserve"> The holding instruments are set up in FINDUR to match Bloomberg, </w:t>
      </w:r>
      <w:r>
        <w:t xml:space="preserve">but </w:t>
      </w:r>
      <w:r w:rsidR="00023C79" w:rsidRPr="00C124B7">
        <w:t>Euroclear uses a different rounding method whe</w:t>
      </w:r>
      <w:r w:rsidR="00023C79">
        <w:t>n calculating coupon payments.</w:t>
      </w:r>
      <w:r>
        <w:t xml:space="preserve"> </w:t>
      </w:r>
      <w:r w:rsidR="00023C79" w:rsidRPr="00C124B7">
        <w:t xml:space="preserve">Therefore, the Back Office must make manual accounting adjustments when the posting </w:t>
      </w:r>
      <w:r>
        <w:t xml:space="preserve">that is </w:t>
      </w:r>
      <w:r w:rsidR="00023C79" w:rsidRPr="00C124B7">
        <w:t>based on the generated Cash coupon deal does not match the actual cash amount paid out by Euroclear.</w:t>
      </w:r>
      <w:r>
        <w:t xml:space="preserve"> </w:t>
      </w:r>
      <w:r w:rsidR="00023C79">
        <w:t>If Euroclear uses the rounding formula</w:t>
      </w:r>
      <w:r>
        <w:t>,</w:t>
      </w:r>
      <w:r w:rsidR="00023C79">
        <w:t xml:space="preserve"> and it is not updated in </w:t>
      </w:r>
      <w:proofErr w:type="spellStart"/>
      <w:r w:rsidR="00023C79">
        <w:t>Findur</w:t>
      </w:r>
      <w:proofErr w:type="spellEnd"/>
      <w:r>
        <w:t>,</w:t>
      </w:r>
      <w:r w:rsidR="00023C79">
        <w:t xml:space="preserve"> you must add it in.</w:t>
      </w:r>
      <w:r>
        <w:br/>
      </w:r>
      <w:r>
        <w:lastRenderedPageBreak/>
        <w:br/>
      </w:r>
      <w:r w:rsidR="00023C79">
        <w:t>To add the Payment Formula:</w:t>
      </w:r>
    </w:p>
    <w:p w14:paraId="43E0BDE2" w14:textId="77777777" w:rsidR="00023C79" w:rsidRPr="00000A68" w:rsidRDefault="00BC2C3A" w:rsidP="00000A68">
      <w:pPr>
        <w:pStyle w:val="NumListdocs"/>
        <w:numPr>
          <w:ilvl w:val="2"/>
          <w:numId w:val="4"/>
        </w:numPr>
      </w:pPr>
      <w:r>
        <w:t>While o</w:t>
      </w:r>
      <w:r w:rsidR="00000A68">
        <w:t>n</w:t>
      </w:r>
      <w:r w:rsidR="00023C79">
        <w:t xml:space="preserve"> the </w:t>
      </w:r>
      <w:r w:rsidR="00023C79" w:rsidRPr="00000A68">
        <w:rPr>
          <w:b/>
        </w:rPr>
        <w:t>Profile</w:t>
      </w:r>
      <w:r w:rsidR="00023C79">
        <w:t xml:space="preserve"> tab, </w:t>
      </w:r>
      <w:r w:rsidR="004213F8">
        <w:t xml:space="preserve">on the header </w:t>
      </w:r>
      <w:r>
        <w:t xml:space="preserve">click </w:t>
      </w:r>
      <w:r w:rsidR="00023C79" w:rsidRPr="00000A68">
        <w:rPr>
          <w:b/>
        </w:rPr>
        <w:t>View</w:t>
      </w:r>
      <w:r w:rsidR="00000A68">
        <w:t xml:space="preserve"> &gt;</w:t>
      </w:r>
      <w:r w:rsidR="00023C79">
        <w:t xml:space="preserve"> </w:t>
      </w:r>
      <w:r w:rsidR="00023C79" w:rsidRPr="00000A68">
        <w:rPr>
          <w:b/>
        </w:rPr>
        <w:t>Payment Formula</w:t>
      </w:r>
      <w:r w:rsidR="00000A68" w:rsidRPr="00000A68">
        <w:t>.</w:t>
      </w:r>
    </w:p>
    <w:p w14:paraId="24A2E049" w14:textId="77777777" w:rsidR="00430486" w:rsidRDefault="00000A68" w:rsidP="003D7FC8">
      <w:pPr>
        <w:pStyle w:val="NumListdocs"/>
        <w:numPr>
          <w:ilvl w:val="2"/>
          <w:numId w:val="4"/>
        </w:numPr>
      </w:pPr>
      <w:r>
        <w:t>Enter</w:t>
      </w:r>
      <w:r w:rsidR="00023C79">
        <w:t xml:space="preserve"> the formula </w:t>
      </w:r>
      <w:r w:rsidR="00023C79" w:rsidRPr="00000A68">
        <w:rPr>
          <w:b/>
        </w:rPr>
        <w:t xml:space="preserve">rate = round(rate/2,5) * </w:t>
      </w:r>
      <w:proofErr w:type="gramStart"/>
      <w:r w:rsidR="00023C79" w:rsidRPr="00000A68">
        <w:rPr>
          <w:b/>
        </w:rPr>
        <w:t>2;</w:t>
      </w:r>
      <w:proofErr w:type="gramEnd"/>
    </w:p>
    <w:p w14:paraId="5B62A1DE" w14:textId="778882AE" w:rsidR="0058454C" w:rsidRPr="00067131" w:rsidRDefault="00430486" w:rsidP="00430486">
      <w:pPr>
        <w:pStyle w:val="NumListdocs"/>
        <w:numPr>
          <w:ilvl w:val="2"/>
          <w:numId w:val="4"/>
        </w:numPr>
      </w:pPr>
      <w:r>
        <w:rPr>
          <w:lang w:eastAsia="en-CA"/>
        </w:rPr>
        <w:t xml:space="preserve">Or </w:t>
      </w:r>
      <w:r w:rsidR="00C47DC7" w:rsidRPr="00430486">
        <w:rPr>
          <w:b/>
          <w:bCs/>
          <w:lang w:eastAsia="en-CA"/>
        </w:rPr>
        <w:t xml:space="preserve">payment = notional * </w:t>
      </w:r>
      <w:proofErr w:type="gramStart"/>
      <w:r w:rsidR="00C47DC7" w:rsidRPr="00430486">
        <w:rPr>
          <w:b/>
          <w:bCs/>
          <w:lang w:eastAsia="en-CA"/>
        </w:rPr>
        <w:t>round(</w:t>
      </w:r>
      <w:proofErr w:type="gramEnd"/>
      <w:r w:rsidR="00C47DC7" w:rsidRPr="00430486">
        <w:rPr>
          <w:b/>
          <w:bCs/>
          <w:lang w:eastAsia="en-CA"/>
        </w:rPr>
        <w:t xml:space="preserve">(rate + spread) * </w:t>
      </w:r>
      <w:proofErr w:type="spellStart"/>
      <w:r w:rsidR="00C47DC7" w:rsidRPr="00430486">
        <w:rPr>
          <w:b/>
          <w:bCs/>
          <w:lang w:eastAsia="en-CA"/>
        </w:rPr>
        <w:t>dcf</w:t>
      </w:r>
      <w:proofErr w:type="spellEnd"/>
      <w:r w:rsidR="00C47DC7" w:rsidRPr="00430486">
        <w:rPr>
          <w:b/>
          <w:bCs/>
          <w:lang w:eastAsia="en-CA"/>
        </w:rPr>
        <w:t xml:space="preserve">, 5) * </w:t>
      </w:r>
      <w:proofErr w:type="spellStart"/>
      <w:r w:rsidR="00C47DC7" w:rsidRPr="00430486">
        <w:rPr>
          <w:b/>
          <w:bCs/>
          <w:lang w:eastAsia="en-CA"/>
        </w:rPr>
        <w:t>mult</w:t>
      </w:r>
      <w:proofErr w:type="spellEnd"/>
      <w:r w:rsidR="00C47DC7" w:rsidRPr="00430486">
        <w:rPr>
          <w:b/>
          <w:bCs/>
          <w:lang w:eastAsia="en-CA"/>
        </w:rPr>
        <w:t>;</w:t>
      </w:r>
    </w:p>
    <w:p w14:paraId="43E0BDE4" w14:textId="77777777" w:rsidR="00023C79" w:rsidRDefault="00023C79" w:rsidP="00023C79">
      <w:pPr>
        <w:jc w:val="center"/>
        <w:rPr>
          <w:noProof/>
        </w:rPr>
      </w:pPr>
      <w:r w:rsidRPr="00DA0C8F">
        <w:rPr>
          <w:noProof/>
        </w:rPr>
        <w:drawing>
          <wp:inline distT="0" distB="0" distL="0" distR="0" wp14:anchorId="43E0BE0B" wp14:editId="43E0BE0C">
            <wp:extent cx="5136515" cy="353187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BDE5" w14:textId="77777777" w:rsidR="00000A68" w:rsidRDefault="00000A68" w:rsidP="00000A68">
      <w:pPr>
        <w:pStyle w:val="NumListdocs"/>
        <w:numPr>
          <w:ilvl w:val="1"/>
          <w:numId w:val="4"/>
        </w:numPr>
        <w:rPr>
          <w:rFonts w:eastAsia="Calibri"/>
        </w:rPr>
      </w:pPr>
      <w:r>
        <w:rPr>
          <w:rFonts w:eastAsia="Calibri"/>
        </w:rPr>
        <w:t>O</w:t>
      </w:r>
      <w:r w:rsidR="00023C79" w:rsidRPr="004D13AE">
        <w:rPr>
          <w:rFonts w:eastAsia="Calibri"/>
        </w:rPr>
        <w:t xml:space="preserve">n the </w:t>
      </w:r>
      <w:r w:rsidR="00023C79" w:rsidRPr="004D13AE">
        <w:rPr>
          <w:rFonts w:eastAsia="Calibri"/>
          <w:b/>
        </w:rPr>
        <w:t>Primary Page</w:t>
      </w:r>
      <w:r w:rsidR="00023C79" w:rsidRPr="004D13AE">
        <w:rPr>
          <w:rFonts w:eastAsia="Calibri"/>
        </w:rPr>
        <w:t xml:space="preserve"> tab, change the </w:t>
      </w:r>
      <w:r w:rsidR="00023C79" w:rsidRPr="004D13AE">
        <w:rPr>
          <w:rFonts w:eastAsia="Calibri"/>
          <w:b/>
        </w:rPr>
        <w:t>Action</w:t>
      </w:r>
      <w:r w:rsidR="00023C79" w:rsidRPr="004D13AE">
        <w:rPr>
          <w:rFonts w:eastAsia="Calibri"/>
        </w:rPr>
        <w:t xml:space="preserve"> to </w:t>
      </w:r>
      <w:proofErr w:type="spellStart"/>
      <w:r w:rsidR="00023C79" w:rsidRPr="004D13AE">
        <w:rPr>
          <w:rFonts w:eastAsia="Calibri"/>
          <w:b/>
        </w:rPr>
        <w:t>to</w:t>
      </w:r>
      <w:proofErr w:type="spellEnd"/>
      <w:r w:rsidR="00023C79" w:rsidRPr="004D13AE">
        <w:rPr>
          <w:rFonts w:eastAsia="Calibri"/>
          <w:b/>
        </w:rPr>
        <w:t xml:space="preserve"> Validated</w:t>
      </w:r>
      <w:r>
        <w:rPr>
          <w:rFonts w:eastAsia="Calibri"/>
        </w:rPr>
        <w:t>.</w:t>
      </w:r>
    </w:p>
    <w:p w14:paraId="43E0BDE6" w14:textId="77777777" w:rsidR="00023C79" w:rsidRPr="004D13AE" w:rsidRDefault="00000A68" w:rsidP="00000A68">
      <w:pPr>
        <w:pStyle w:val="NumListdocs"/>
        <w:numPr>
          <w:ilvl w:val="1"/>
          <w:numId w:val="4"/>
        </w:numPr>
        <w:rPr>
          <w:rFonts w:eastAsia="Calibri"/>
        </w:rPr>
      </w:pPr>
      <w:r>
        <w:rPr>
          <w:rFonts w:eastAsia="Calibri"/>
        </w:rPr>
        <w:t>C</w:t>
      </w:r>
      <w:r w:rsidR="00023C79" w:rsidRPr="004D13AE">
        <w:rPr>
          <w:rFonts w:eastAsia="Calibri"/>
        </w:rPr>
        <w:t xml:space="preserve">lick </w:t>
      </w:r>
      <w:r w:rsidR="00023C79" w:rsidRPr="004D13AE">
        <w:rPr>
          <w:rFonts w:eastAsia="Calibri"/>
          <w:b/>
        </w:rPr>
        <w:t>Process</w:t>
      </w:r>
      <w:r w:rsidR="00023C79" w:rsidRPr="004D13AE">
        <w:rPr>
          <w:rFonts w:eastAsia="Calibri"/>
        </w:rPr>
        <w:t>.</w:t>
      </w:r>
      <w:r w:rsidR="00023C79" w:rsidRPr="004D13AE">
        <w:rPr>
          <w:rFonts w:eastAsia="Calibri"/>
        </w:rPr>
        <w:br/>
      </w:r>
      <w:r w:rsidR="00023C79" w:rsidRPr="004D13AE">
        <w:rPr>
          <w:rFonts w:eastAsia="Calibri"/>
          <w:i/>
        </w:rPr>
        <w:t>A new Instrument Number will be created.</w:t>
      </w:r>
    </w:p>
    <w:p w14:paraId="43E0BDE7" w14:textId="77777777" w:rsidR="00023C79" w:rsidRPr="004D13AE" w:rsidRDefault="00023C79" w:rsidP="00023C79">
      <w:pPr>
        <w:ind w:left="1440"/>
        <w:rPr>
          <w:rFonts w:ascii="Calibri" w:hAnsi="Calibri"/>
        </w:rPr>
      </w:pPr>
      <w:r w:rsidRPr="00DA0C8F">
        <w:rPr>
          <w:noProof/>
        </w:rPr>
        <w:drawing>
          <wp:inline distT="0" distB="0" distL="0" distR="0" wp14:anchorId="43E0BE0D" wp14:editId="43E0BE0E">
            <wp:extent cx="2581910" cy="1497330"/>
            <wp:effectExtent l="0" t="0" r="889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BDE8" w14:textId="77777777" w:rsidR="00023C79" w:rsidRPr="004D13AE" w:rsidRDefault="00023C79" w:rsidP="00B649CE">
      <w:pPr>
        <w:pStyle w:val="NumListdocs"/>
        <w:rPr>
          <w:rFonts w:eastAsia="Calibri"/>
        </w:rPr>
      </w:pPr>
      <w:r w:rsidRPr="00B649CE">
        <w:rPr>
          <w:rFonts w:eastAsia="Calibri"/>
        </w:rPr>
        <w:t>Validate</w:t>
      </w:r>
      <w:r w:rsidRPr="004D13AE">
        <w:rPr>
          <w:rFonts w:eastAsia="Calibri"/>
        </w:rPr>
        <w:t xml:space="preserve"> a fake BXT in </w:t>
      </w:r>
      <w:proofErr w:type="spellStart"/>
      <w:r w:rsidRPr="004D13AE">
        <w:rPr>
          <w:rFonts w:eastAsia="Calibri"/>
        </w:rPr>
        <w:t>Findur</w:t>
      </w:r>
      <w:proofErr w:type="spellEnd"/>
      <w:r w:rsidRPr="004D13AE">
        <w:rPr>
          <w:rFonts w:eastAsia="Calibri"/>
        </w:rPr>
        <w:t>.</w:t>
      </w:r>
    </w:p>
    <w:p w14:paraId="43E0BDE9" w14:textId="77777777" w:rsidR="00023C79" w:rsidRPr="00921835" w:rsidRDefault="00023C79" w:rsidP="00023C79">
      <w:pPr>
        <w:pStyle w:val="NumListdocs"/>
        <w:numPr>
          <w:ilvl w:val="1"/>
          <w:numId w:val="4"/>
        </w:numPr>
        <w:rPr>
          <w:rFonts w:eastAsia="Calibri"/>
        </w:rPr>
      </w:pPr>
      <w:r w:rsidRPr="004D13AE">
        <w:rPr>
          <w:rFonts w:eastAsia="Calibri"/>
        </w:rPr>
        <w:lastRenderedPageBreak/>
        <w:t xml:space="preserve">In </w:t>
      </w:r>
      <w:proofErr w:type="spellStart"/>
      <w:r w:rsidRPr="004D13AE">
        <w:rPr>
          <w:rFonts w:eastAsia="Calibri"/>
        </w:rPr>
        <w:t>Findur</w:t>
      </w:r>
      <w:proofErr w:type="spellEnd"/>
      <w:r w:rsidRPr="004D13AE">
        <w:rPr>
          <w:rFonts w:eastAsia="Calibri"/>
        </w:rPr>
        <w:t xml:space="preserve">, navigate to </w:t>
      </w:r>
      <w:r w:rsidRPr="004D13AE">
        <w:rPr>
          <w:rFonts w:eastAsia="Calibri"/>
          <w:b/>
        </w:rPr>
        <w:t>Securities</w:t>
      </w:r>
      <w:r w:rsidRPr="004D13AE">
        <w:rPr>
          <w:rFonts w:eastAsia="Calibri"/>
        </w:rPr>
        <w:t xml:space="preserve"> &gt; </w:t>
      </w:r>
      <w:r w:rsidRPr="004D13AE">
        <w:rPr>
          <w:rFonts w:eastAsia="Calibri"/>
          <w:b/>
        </w:rPr>
        <w:t>Foreign Bonds</w:t>
      </w:r>
      <w:r w:rsidRPr="004D13AE">
        <w:rPr>
          <w:rFonts w:eastAsia="Calibri"/>
        </w:rPr>
        <w:t xml:space="preserve"> &gt; </w:t>
      </w:r>
      <w:r w:rsidRPr="004D13AE">
        <w:rPr>
          <w:rFonts w:eastAsia="Calibri"/>
          <w:b/>
        </w:rPr>
        <w:t>RMU</w:t>
      </w:r>
      <w:r w:rsidRPr="004D13AE">
        <w:rPr>
          <w:rFonts w:eastAsia="Calibri"/>
        </w:rPr>
        <w:t>.</w:t>
      </w:r>
      <w:r w:rsidRPr="004D13AE">
        <w:rPr>
          <w:rFonts w:eastAsia="Calibri"/>
        </w:rPr>
        <w:br/>
      </w:r>
      <w:r w:rsidRPr="004D13AE">
        <w:rPr>
          <w:rFonts w:eastAsia="Calibri"/>
          <w:i/>
        </w:rPr>
        <w:t>After validating the instrument, it will appear at the bottom of the RMU page.</w:t>
      </w:r>
    </w:p>
    <w:p w14:paraId="43E0BDEA" w14:textId="77777777" w:rsidR="00023C79" w:rsidRPr="004D13AE" w:rsidRDefault="004716F5" w:rsidP="00023C79">
      <w:pPr>
        <w:pStyle w:val="NumListdocs"/>
        <w:numPr>
          <w:ilvl w:val="1"/>
          <w:numId w:val="4"/>
        </w:numPr>
        <w:rPr>
          <w:rFonts w:eastAsia="Calibri"/>
        </w:rPr>
      </w:pPr>
      <w:r>
        <w:rPr>
          <w:rFonts w:eastAsia="Calibri"/>
        </w:rPr>
        <w:t>Enter</w:t>
      </w:r>
      <w:r w:rsidR="00023C79" w:rsidRPr="004D13AE">
        <w:rPr>
          <w:rFonts w:eastAsia="Calibri"/>
        </w:rPr>
        <w:t xml:space="preserve"> the </w:t>
      </w:r>
      <w:r w:rsidR="00023C79" w:rsidRPr="004D13AE">
        <w:rPr>
          <w:rFonts w:eastAsia="Calibri"/>
          <w:b/>
        </w:rPr>
        <w:t>Trade Date</w:t>
      </w:r>
      <w:r w:rsidR="00023C79" w:rsidRPr="004D13AE">
        <w:rPr>
          <w:rFonts w:eastAsia="Calibri"/>
        </w:rPr>
        <w:t xml:space="preserve">, </w:t>
      </w:r>
      <w:r w:rsidR="00023C79" w:rsidRPr="004D13AE">
        <w:rPr>
          <w:rFonts w:eastAsia="Calibri"/>
          <w:b/>
        </w:rPr>
        <w:t>Settle Date</w:t>
      </w:r>
      <w:r w:rsidR="00023C79" w:rsidRPr="004D13AE">
        <w:rPr>
          <w:rFonts w:eastAsia="Calibri"/>
        </w:rPr>
        <w:t xml:space="preserve">, </w:t>
      </w:r>
      <w:r w:rsidR="00023C79" w:rsidRPr="004D13AE">
        <w:rPr>
          <w:rFonts w:eastAsia="Calibri"/>
          <w:b/>
        </w:rPr>
        <w:t>Par Amount</w:t>
      </w:r>
      <w:r w:rsidR="00023C79" w:rsidRPr="004D13AE">
        <w:rPr>
          <w:rFonts w:eastAsia="Calibri"/>
        </w:rPr>
        <w:t xml:space="preserve">, </w:t>
      </w:r>
      <w:r w:rsidR="00023C79" w:rsidRPr="004D13AE">
        <w:rPr>
          <w:rFonts w:eastAsia="Calibri"/>
          <w:b/>
        </w:rPr>
        <w:t>Buy</w:t>
      </w:r>
      <w:r w:rsidR="00023C79" w:rsidRPr="004D13AE">
        <w:rPr>
          <w:rFonts w:eastAsia="Calibri"/>
        </w:rPr>
        <w:t xml:space="preserve">, and </w:t>
      </w:r>
      <w:r w:rsidR="00023C79" w:rsidRPr="004D13AE">
        <w:rPr>
          <w:rFonts w:eastAsia="Calibri"/>
          <w:b/>
        </w:rPr>
        <w:t>Price</w:t>
      </w:r>
      <w:r w:rsidRPr="004716F5">
        <w:rPr>
          <w:rFonts w:eastAsia="Calibri"/>
        </w:rPr>
        <w:t>.</w:t>
      </w:r>
    </w:p>
    <w:p w14:paraId="43E0BDEB" w14:textId="77777777" w:rsidR="00023C79" w:rsidRPr="004D13AE" w:rsidRDefault="00023C79" w:rsidP="00023C79">
      <w:pPr>
        <w:pStyle w:val="NumListdocs"/>
        <w:numPr>
          <w:ilvl w:val="1"/>
          <w:numId w:val="4"/>
        </w:numPr>
        <w:rPr>
          <w:rFonts w:eastAsia="Calibri"/>
        </w:rPr>
      </w:pPr>
      <w:r w:rsidRPr="004D13AE">
        <w:rPr>
          <w:rFonts w:eastAsia="Calibri"/>
        </w:rPr>
        <w:t>Verify that</w:t>
      </w:r>
      <w:r w:rsidRPr="004D13AE">
        <w:rPr>
          <w:rFonts w:eastAsia="Calibri"/>
          <w:b/>
        </w:rPr>
        <w:t xml:space="preserve"> </w:t>
      </w:r>
      <w:r w:rsidRPr="004D13AE">
        <w:rPr>
          <w:rFonts w:eastAsia="Calibri"/>
        </w:rPr>
        <w:t xml:space="preserve">the </w:t>
      </w:r>
      <w:r w:rsidRPr="004D13AE">
        <w:rPr>
          <w:rFonts w:eastAsia="Calibri"/>
          <w:b/>
        </w:rPr>
        <w:t>Trade Yield</w:t>
      </w:r>
      <w:r>
        <w:rPr>
          <w:rFonts w:eastAsia="Calibri"/>
        </w:rPr>
        <w:t xml:space="preserve"> (this must match the BBG DES to the </w:t>
      </w:r>
      <w:r w:rsidR="004716F5">
        <w:rPr>
          <w:rFonts w:eastAsia="Calibri"/>
        </w:rPr>
        <w:t>third</w:t>
      </w:r>
      <w:r>
        <w:rPr>
          <w:rFonts w:eastAsia="Calibri"/>
        </w:rPr>
        <w:t xml:space="preserve"> decimal), </w:t>
      </w:r>
      <w:r w:rsidRPr="004D13AE">
        <w:rPr>
          <w:rFonts w:eastAsia="Calibri"/>
          <w:b/>
        </w:rPr>
        <w:t>Accrued Interest</w:t>
      </w:r>
      <w:r w:rsidR="004716F5">
        <w:rPr>
          <w:rFonts w:eastAsia="Calibri"/>
        </w:rPr>
        <w:t xml:space="preserve">, </w:t>
      </w:r>
      <w:r w:rsidRPr="004D13AE">
        <w:rPr>
          <w:rFonts w:eastAsia="Calibri"/>
        </w:rPr>
        <w:t xml:space="preserve">and the </w:t>
      </w:r>
      <w:r w:rsidRPr="004D13AE">
        <w:rPr>
          <w:rFonts w:eastAsia="Calibri"/>
          <w:b/>
        </w:rPr>
        <w:t>Proceeds</w:t>
      </w:r>
      <w:r w:rsidRPr="004D13AE">
        <w:rPr>
          <w:rFonts w:eastAsia="Calibri"/>
        </w:rPr>
        <w:t xml:space="preserve"> match the BXT.</w:t>
      </w:r>
    </w:p>
    <w:p w14:paraId="43E0BDEC" w14:textId="77777777" w:rsidR="00023C79" w:rsidRDefault="00023C79" w:rsidP="00023C79">
      <w:pPr>
        <w:rPr>
          <w:noProof/>
        </w:rPr>
      </w:pPr>
      <w:r w:rsidRPr="00DA0C8F">
        <w:rPr>
          <w:noProof/>
        </w:rPr>
        <w:drawing>
          <wp:inline distT="0" distB="0" distL="0" distR="0" wp14:anchorId="43E0BE0F" wp14:editId="43E0BE10">
            <wp:extent cx="6078220" cy="233045"/>
            <wp:effectExtent l="0" t="0" r="0" b="0"/>
            <wp:docPr id="6" name="Picture 6" descr="C:\Users\skup\AppData\Local\Temp\SNAGHTML47118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kup\AppData\Local\Temp\SNAGHTML4711843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095" cy="2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BDED" w14:textId="77777777" w:rsidR="00023C79" w:rsidRPr="004716F5" w:rsidRDefault="00023C79" w:rsidP="004716F5">
      <w:pPr>
        <w:ind w:left="1440"/>
      </w:pPr>
      <w:r w:rsidRPr="00E538E4">
        <w:t xml:space="preserve">If the </w:t>
      </w:r>
      <w:r w:rsidRPr="00E538E4">
        <w:rPr>
          <w:b/>
        </w:rPr>
        <w:t>Accrued Interest</w:t>
      </w:r>
      <w:r w:rsidRPr="00E538E4">
        <w:t xml:space="preserve"> or </w:t>
      </w:r>
      <w:r w:rsidRPr="00E538E4">
        <w:rPr>
          <w:b/>
        </w:rPr>
        <w:t>Proceeds</w:t>
      </w:r>
      <w:r w:rsidRPr="00E538E4">
        <w:t xml:space="preserve"> values do not match, trading of the new</w:t>
      </w:r>
      <w:r>
        <w:t xml:space="preserve"> </w:t>
      </w:r>
      <w:r w:rsidRPr="00E538E4">
        <w:t xml:space="preserve">bond </w:t>
      </w:r>
      <w:r w:rsidRPr="004716F5">
        <w:t>cannot occur. Contact the BASS-FINDUR team.</w:t>
      </w:r>
    </w:p>
    <w:p w14:paraId="43E0BDEE" w14:textId="77777777" w:rsidR="00023C79" w:rsidRPr="00C124B7" w:rsidRDefault="00023C79" w:rsidP="004716F5">
      <w:pPr>
        <w:ind w:left="1440"/>
      </w:pPr>
      <w:r w:rsidRPr="004716F5">
        <w:t>If</w:t>
      </w:r>
      <w:r w:rsidRPr="00C124B7">
        <w:t xml:space="preserve"> the </w:t>
      </w:r>
      <w:r w:rsidRPr="00C124B7">
        <w:rPr>
          <w:b/>
        </w:rPr>
        <w:t>Trade Yield</w:t>
      </w:r>
      <w:r w:rsidRPr="00C124B7">
        <w:t xml:space="preserve"> value is incorrect, the Back-Office’s </w:t>
      </w:r>
      <w:r w:rsidRPr="00C124B7">
        <w:rPr>
          <w:b/>
        </w:rPr>
        <w:t>Year End Yield Report</w:t>
      </w:r>
      <w:r w:rsidRPr="00C124B7">
        <w:t>,</w:t>
      </w:r>
      <w:r>
        <w:t xml:space="preserve"> </w:t>
      </w:r>
      <w:r w:rsidRPr="00C124B7">
        <w:t xml:space="preserve">which is provided to the Auditor General and is published as </w:t>
      </w:r>
      <w:r w:rsidRPr="00C124B7">
        <w:rPr>
          <w:b/>
        </w:rPr>
        <w:t>Note 5</w:t>
      </w:r>
      <w:r w:rsidRPr="00C124B7">
        <w:t xml:space="preserve"> of the</w:t>
      </w:r>
      <w:r>
        <w:t xml:space="preserve"> </w:t>
      </w:r>
      <w:r w:rsidRPr="00C124B7">
        <w:rPr>
          <w:b/>
        </w:rPr>
        <w:t>Official International Reserves Report</w:t>
      </w:r>
      <w:r w:rsidRPr="00C124B7">
        <w:t xml:space="preserve">, will also be incorrect. The </w:t>
      </w:r>
      <w:r w:rsidR="004716F5">
        <w:rPr>
          <w:b/>
        </w:rPr>
        <w:t>Trade Y</w:t>
      </w:r>
      <w:r w:rsidRPr="00C124B7">
        <w:rPr>
          <w:b/>
        </w:rPr>
        <w:t>ield</w:t>
      </w:r>
      <w:r w:rsidRPr="00C124B7">
        <w:t xml:space="preserve"> mus</w:t>
      </w:r>
      <w:r>
        <w:t xml:space="preserve">t </w:t>
      </w:r>
      <w:r w:rsidRPr="00C124B7">
        <w:t>agree to the third decimal because the yields in the report are displayed to the</w:t>
      </w:r>
      <w:r>
        <w:t xml:space="preserve"> </w:t>
      </w:r>
      <w:r w:rsidR="004716F5">
        <w:t>second</w:t>
      </w:r>
      <w:r w:rsidRPr="00C124B7">
        <w:t xml:space="preserve"> decimal.</w:t>
      </w:r>
    </w:p>
    <w:p w14:paraId="43E0BDEF" w14:textId="77777777" w:rsidR="00023C79" w:rsidRPr="004D13AE" w:rsidRDefault="00023C79" w:rsidP="00023C79">
      <w:pPr>
        <w:pStyle w:val="NumListdocs"/>
        <w:rPr>
          <w:rFonts w:eastAsia="Calibri"/>
        </w:rPr>
      </w:pPr>
      <w:r w:rsidRPr="004D13AE">
        <w:rPr>
          <w:rFonts w:eastAsia="Calibri"/>
        </w:rPr>
        <w:t xml:space="preserve">Update your spreadsheet from step </w:t>
      </w:r>
      <w:r w:rsidRPr="004D13AE">
        <w:rPr>
          <w:rFonts w:eastAsia="Calibri"/>
        </w:rPr>
        <w:fldChar w:fldCharType="begin"/>
      </w:r>
      <w:r w:rsidRPr="004D13AE">
        <w:rPr>
          <w:rFonts w:eastAsia="Calibri"/>
        </w:rPr>
        <w:instrText xml:space="preserve"> REF _Ref519517803 \r \h </w:instrText>
      </w:r>
      <w:r w:rsidRPr="004D13AE">
        <w:rPr>
          <w:rFonts w:eastAsia="Calibri"/>
        </w:rPr>
      </w:r>
      <w:r w:rsidRPr="004D13AE">
        <w:rPr>
          <w:rFonts w:eastAsia="Calibri"/>
        </w:rPr>
        <w:fldChar w:fldCharType="separate"/>
      </w:r>
      <w:r w:rsidRPr="004D13AE">
        <w:rPr>
          <w:rFonts w:eastAsia="Calibri"/>
        </w:rPr>
        <w:t>3</w:t>
      </w:r>
      <w:r w:rsidRPr="004D13AE">
        <w:rPr>
          <w:rFonts w:eastAsia="Calibri"/>
        </w:rPr>
        <w:fldChar w:fldCharType="end"/>
      </w:r>
      <w:r w:rsidRPr="004D13AE">
        <w:rPr>
          <w:rFonts w:eastAsia="Calibri"/>
        </w:rPr>
        <w:t>.</w:t>
      </w:r>
    </w:p>
    <w:p w14:paraId="43E0BDF0" w14:textId="77777777" w:rsidR="00023C79" w:rsidRPr="004D13AE" w:rsidRDefault="00023C79" w:rsidP="00023C79">
      <w:pPr>
        <w:pStyle w:val="NumListdocs"/>
        <w:numPr>
          <w:ilvl w:val="1"/>
          <w:numId w:val="4"/>
        </w:numPr>
        <w:rPr>
          <w:rFonts w:eastAsia="Calibri"/>
        </w:rPr>
      </w:pPr>
      <w:r w:rsidRPr="004D13AE">
        <w:rPr>
          <w:rFonts w:eastAsia="Calibri"/>
        </w:rPr>
        <w:t xml:space="preserve">On the </w:t>
      </w:r>
      <w:r w:rsidRPr="004D13AE">
        <w:rPr>
          <w:rFonts w:eastAsia="Calibri"/>
          <w:b/>
        </w:rPr>
        <w:t>Bloomberg</w:t>
      </w:r>
      <w:r w:rsidRPr="004D13AE">
        <w:rPr>
          <w:rFonts w:eastAsia="Calibri"/>
        </w:rPr>
        <w:t xml:space="preserve"> tab, enter the following information:</w:t>
      </w:r>
    </w:p>
    <w:p w14:paraId="43E0BDF1" w14:textId="77777777" w:rsidR="00023C79" w:rsidRPr="004D13AE" w:rsidRDefault="00023C79" w:rsidP="00023C79">
      <w:pPr>
        <w:pStyle w:val="BulletInList"/>
        <w:numPr>
          <w:ilvl w:val="0"/>
          <w:numId w:val="1"/>
        </w:numPr>
        <w:tabs>
          <w:tab w:val="clear" w:pos="926"/>
          <w:tab w:val="num" w:pos="1696"/>
        </w:tabs>
        <w:ind w:left="1696" w:hanging="256"/>
        <w:rPr>
          <w:rFonts w:eastAsia="Calibri"/>
        </w:rPr>
      </w:pPr>
      <w:r w:rsidRPr="004D13AE">
        <w:rPr>
          <w:rFonts w:eastAsia="Calibri"/>
        </w:rPr>
        <w:t>Created By: your initials</w:t>
      </w:r>
    </w:p>
    <w:p w14:paraId="43E0BDF2" w14:textId="77777777" w:rsidR="00023C79" w:rsidRPr="004D13AE" w:rsidRDefault="00023C79" w:rsidP="00023C79">
      <w:pPr>
        <w:pStyle w:val="BulletInList"/>
        <w:numPr>
          <w:ilvl w:val="0"/>
          <w:numId w:val="1"/>
        </w:numPr>
        <w:tabs>
          <w:tab w:val="clear" w:pos="926"/>
          <w:tab w:val="num" w:pos="1696"/>
        </w:tabs>
        <w:ind w:left="1696" w:hanging="256"/>
        <w:rPr>
          <w:rFonts w:eastAsia="Calibri"/>
        </w:rPr>
      </w:pPr>
      <w:r w:rsidRPr="004D13AE">
        <w:rPr>
          <w:rFonts w:eastAsia="Calibri"/>
        </w:rPr>
        <w:t xml:space="preserve">Authorized By: leave blank as the </w:t>
      </w:r>
      <w:r w:rsidR="004716F5">
        <w:rPr>
          <w:rFonts w:eastAsia="Calibri"/>
        </w:rPr>
        <w:t>second</w:t>
      </w:r>
      <w:r w:rsidRPr="004D13AE">
        <w:rPr>
          <w:rFonts w:eastAsia="Calibri"/>
        </w:rPr>
        <w:t xml:space="preserve"> OA will enter their initials</w:t>
      </w:r>
    </w:p>
    <w:p w14:paraId="43E0BDF3" w14:textId="77777777" w:rsidR="00023C79" w:rsidRPr="004D13AE" w:rsidRDefault="00023C79" w:rsidP="00023C79">
      <w:pPr>
        <w:pStyle w:val="BulletInList"/>
        <w:numPr>
          <w:ilvl w:val="0"/>
          <w:numId w:val="1"/>
        </w:numPr>
        <w:tabs>
          <w:tab w:val="clear" w:pos="926"/>
          <w:tab w:val="num" w:pos="1696"/>
        </w:tabs>
        <w:ind w:left="1696" w:hanging="256"/>
        <w:rPr>
          <w:rFonts w:eastAsia="Calibri"/>
        </w:rPr>
      </w:pPr>
      <w:r w:rsidRPr="004D13AE">
        <w:rPr>
          <w:rFonts w:eastAsia="Calibri"/>
        </w:rPr>
        <w:t xml:space="preserve">Settlement: </w:t>
      </w:r>
      <w:r w:rsidR="003A2AF3">
        <w:rPr>
          <w:rFonts w:eastAsia="Calibri"/>
        </w:rPr>
        <w:t>T</w:t>
      </w:r>
      <w:r w:rsidRPr="004D13AE">
        <w:rPr>
          <w:rFonts w:eastAsia="Calibri"/>
        </w:rPr>
        <w:t>he Book</w:t>
      </w:r>
      <w:r w:rsidR="003A2AF3">
        <w:rPr>
          <w:rFonts w:eastAsia="Calibri"/>
        </w:rPr>
        <w:t xml:space="preserve"> (</w:t>
      </w:r>
      <w:proofErr w:type="spellStart"/>
      <w:r w:rsidR="003A2AF3">
        <w:rPr>
          <w:rFonts w:eastAsia="Calibri"/>
        </w:rPr>
        <w:t>ie</w:t>
      </w:r>
      <w:proofErr w:type="spellEnd"/>
      <w:r w:rsidR="003A2AF3">
        <w:rPr>
          <w:rFonts w:eastAsia="Calibri"/>
        </w:rPr>
        <w:t>. BOE, FRB, CREST. This is on the template of the security, if it is something different than the template FRM will notify)</w:t>
      </w:r>
    </w:p>
    <w:p w14:paraId="43E0BDF4" w14:textId="77777777" w:rsidR="00023C79" w:rsidRPr="004D13AE" w:rsidRDefault="00023C79" w:rsidP="00023C79">
      <w:pPr>
        <w:pStyle w:val="BulletInList"/>
        <w:numPr>
          <w:ilvl w:val="0"/>
          <w:numId w:val="1"/>
        </w:numPr>
        <w:tabs>
          <w:tab w:val="clear" w:pos="926"/>
          <w:tab w:val="num" w:pos="1696"/>
        </w:tabs>
        <w:ind w:left="1696" w:hanging="256"/>
        <w:rPr>
          <w:rFonts w:eastAsia="Calibri"/>
        </w:rPr>
      </w:pPr>
      <w:r w:rsidRPr="004D13AE">
        <w:rPr>
          <w:rFonts w:eastAsia="Calibri"/>
        </w:rPr>
        <w:t>Instrument #:</w:t>
      </w:r>
    </w:p>
    <w:p w14:paraId="43E0BDF5" w14:textId="77777777" w:rsidR="00023C79" w:rsidRPr="004D13AE" w:rsidRDefault="00023C79" w:rsidP="00023C79">
      <w:pPr>
        <w:pStyle w:val="BulletInList"/>
        <w:numPr>
          <w:ilvl w:val="0"/>
          <w:numId w:val="1"/>
        </w:numPr>
        <w:tabs>
          <w:tab w:val="clear" w:pos="926"/>
          <w:tab w:val="num" w:pos="1696"/>
        </w:tabs>
        <w:ind w:left="1696" w:hanging="256"/>
        <w:rPr>
          <w:rFonts w:eastAsia="Calibri"/>
        </w:rPr>
      </w:pPr>
      <w:r w:rsidRPr="004D13AE">
        <w:rPr>
          <w:rFonts w:eastAsia="Calibri"/>
        </w:rPr>
        <w:t>Comments:</w:t>
      </w:r>
    </w:p>
    <w:p w14:paraId="43E0BDF6" w14:textId="77777777" w:rsidR="00023C79" w:rsidRPr="004D13AE" w:rsidRDefault="005B4F55" w:rsidP="00023C79">
      <w:pPr>
        <w:pStyle w:val="NumListdocs"/>
        <w:numPr>
          <w:ilvl w:val="1"/>
          <w:numId w:val="4"/>
        </w:numPr>
        <w:rPr>
          <w:rFonts w:eastAsia="Calibri"/>
        </w:rPr>
      </w:pPr>
      <w:r>
        <w:rPr>
          <w:rFonts w:eastAsia="Calibri"/>
        </w:rPr>
        <w:t xml:space="preserve">Save the screenshots of </w:t>
      </w:r>
      <w:r w:rsidR="00023C79" w:rsidRPr="004D13AE">
        <w:rPr>
          <w:rFonts w:eastAsia="Calibri"/>
        </w:rPr>
        <w:t xml:space="preserve">the following </w:t>
      </w:r>
      <w:r w:rsidR="004716F5">
        <w:rPr>
          <w:rFonts w:eastAsia="Calibri"/>
        </w:rPr>
        <w:t>pages</w:t>
      </w:r>
      <w:r>
        <w:rPr>
          <w:rFonts w:eastAsia="Calibri"/>
        </w:rPr>
        <w:t xml:space="preserve"> on the “Bloomberg” tab</w:t>
      </w:r>
      <w:r w:rsidR="00023C79" w:rsidRPr="004D13AE">
        <w:rPr>
          <w:rFonts w:eastAsia="Calibri"/>
        </w:rPr>
        <w:t xml:space="preserve">: </w:t>
      </w:r>
      <w:r w:rsidR="00023C79" w:rsidRPr="004D13AE">
        <w:rPr>
          <w:rFonts w:eastAsia="Calibri"/>
          <w:b/>
        </w:rPr>
        <w:t>DES</w:t>
      </w:r>
      <w:r w:rsidR="00023C79" w:rsidRPr="004D13AE">
        <w:rPr>
          <w:rFonts w:eastAsia="Calibri"/>
        </w:rPr>
        <w:t xml:space="preserve">, </w:t>
      </w:r>
      <w:r w:rsidR="00023C79" w:rsidRPr="004D13AE">
        <w:rPr>
          <w:rFonts w:eastAsia="Calibri"/>
          <w:b/>
        </w:rPr>
        <w:t>Cashflow</w:t>
      </w:r>
      <w:r w:rsidR="00023C79" w:rsidRPr="004D13AE">
        <w:rPr>
          <w:rFonts w:eastAsia="Calibri"/>
        </w:rPr>
        <w:t xml:space="preserve">, </w:t>
      </w:r>
      <w:r w:rsidR="00023C79" w:rsidRPr="004D13AE">
        <w:rPr>
          <w:rFonts w:eastAsia="Calibri"/>
          <w:b/>
        </w:rPr>
        <w:t>BXT</w:t>
      </w:r>
      <w:r w:rsidR="00023C79" w:rsidRPr="004D13AE">
        <w:rPr>
          <w:rFonts w:eastAsia="Calibri"/>
        </w:rPr>
        <w:t>.</w:t>
      </w:r>
    </w:p>
    <w:p w14:paraId="43E0BDF7" w14:textId="77777777" w:rsidR="00023C79" w:rsidRPr="004D13AE" w:rsidRDefault="00023C79" w:rsidP="00023C79">
      <w:pPr>
        <w:pStyle w:val="NumListdocs"/>
        <w:numPr>
          <w:ilvl w:val="1"/>
          <w:numId w:val="4"/>
        </w:numPr>
        <w:rPr>
          <w:rFonts w:eastAsia="Calibri"/>
        </w:rPr>
      </w:pPr>
      <w:r w:rsidRPr="004D13AE">
        <w:rPr>
          <w:rFonts w:eastAsia="Calibri"/>
        </w:rPr>
        <w:t xml:space="preserve">On the </w:t>
      </w:r>
      <w:r w:rsidRPr="004D13AE">
        <w:rPr>
          <w:rFonts w:eastAsia="Calibri"/>
          <w:b/>
        </w:rPr>
        <w:t>Template</w:t>
      </w:r>
      <w:r w:rsidRPr="004D13AE">
        <w:rPr>
          <w:rFonts w:eastAsia="Calibri"/>
        </w:rPr>
        <w:t xml:space="preserve"> tab, print the </w:t>
      </w:r>
      <w:proofErr w:type="spellStart"/>
      <w:r w:rsidRPr="004D13AE">
        <w:rPr>
          <w:rFonts w:eastAsia="Calibri"/>
        </w:rPr>
        <w:t>Findur</w:t>
      </w:r>
      <w:proofErr w:type="spellEnd"/>
      <w:r w:rsidRPr="004D13AE">
        <w:rPr>
          <w:rFonts w:eastAsia="Calibri"/>
        </w:rPr>
        <w:t xml:space="preserve"> bond template</w:t>
      </w:r>
      <w:r w:rsidR="004716F5">
        <w:rPr>
          <w:rFonts w:eastAsia="Calibri"/>
        </w:rPr>
        <w:t>’s</w:t>
      </w:r>
      <w:r w:rsidRPr="004D13AE">
        <w:rPr>
          <w:rFonts w:eastAsia="Calibri"/>
        </w:rPr>
        <w:t xml:space="preserve"> </w:t>
      </w:r>
      <w:r w:rsidRPr="004D13AE">
        <w:rPr>
          <w:rFonts w:eastAsia="Calibri"/>
          <w:b/>
        </w:rPr>
        <w:t>Primary Page</w:t>
      </w:r>
      <w:r w:rsidR="004716F5">
        <w:rPr>
          <w:rFonts w:eastAsia="Calibri"/>
        </w:rPr>
        <w:t xml:space="preserve"> tab and</w:t>
      </w:r>
      <w:r w:rsidRPr="004D13AE">
        <w:rPr>
          <w:rFonts w:eastAsia="Calibri"/>
        </w:rPr>
        <w:t xml:space="preserve"> </w:t>
      </w:r>
      <w:r w:rsidRPr="004D13AE">
        <w:rPr>
          <w:rFonts w:eastAsia="Calibri"/>
          <w:b/>
        </w:rPr>
        <w:t>Authorization</w:t>
      </w:r>
      <w:r w:rsidRPr="004D13AE">
        <w:rPr>
          <w:rFonts w:eastAsia="Calibri"/>
        </w:rPr>
        <w:t xml:space="preserve"> tab.</w:t>
      </w:r>
    </w:p>
    <w:p w14:paraId="43E0BDF8" w14:textId="77777777" w:rsidR="009227AB" w:rsidRPr="009227AB" w:rsidRDefault="00023C79" w:rsidP="00023C79">
      <w:pPr>
        <w:pStyle w:val="NumListdocs"/>
        <w:numPr>
          <w:ilvl w:val="1"/>
          <w:numId w:val="4"/>
        </w:numPr>
      </w:pPr>
      <w:r w:rsidRPr="004D13AE">
        <w:rPr>
          <w:rFonts w:eastAsia="Calibri"/>
        </w:rPr>
        <w:t xml:space="preserve">On the </w:t>
      </w:r>
      <w:proofErr w:type="spellStart"/>
      <w:r w:rsidRPr="004D13AE">
        <w:rPr>
          <w:rFonts w:eastAsia="Calibri"/>
          <w:b/>
        </w:rPr>
        <w:t>Findur</w:t>
      </w:r>
      <w:proofErr w:type="spellEnd"/>
      <w:r w:rsidRPr="004D13AE">
        <w:rPr>
          <w:rFonts w:eastAsia="Calibri"/>
          <w:b/>
        </w:rPr>
        <w:t xml:space="preserve"> Instrument</w:t>
      </w:r>
      <w:r w:rsidRPr="004D13AE">
        <w:rPr>
          <w:rFonts w:eastAsia="Calibri"/>
        </w:rPr>
        <w:t xml:space="preserve"> tab, print screens of the following</w:t>
      </w:r>
      <w:r w:rsidR="009227AB">
        <w:rPr>
          <w:rFonts w:eastAsia="Calibri"/>
        </w:rPr>
        <w:t>:</w:t>
      </w:r>
    </w:p>
    <w:p w14:paraId="43E0BDF9" w14:textId="77777777" w:rsidR="009227AB" w:rsidRPr="009227AB" w:rsidRDefault="00023C79" w:rsidP="009227AB">
      <w:pPr>
        <w:pStyle w:val="BulletInList"/>
        <w:tabs>
          <w:tab w:val="clear" w:pos="993"/>
          <w:tab w:val="num" w:pos="2416"/>
        </w:tabs>
        <w:ind w:left="2416"/>
      </w:pPr>
      <w:r w:rsidRPr="004D13AE">
        <w:rPr>
          <w:rFonts w:eastAsia="Calibri"/>
          <w:b/>
        </w:rPr>
        <w:t>Primary Page</w:t>
      </w:r>
      <w:r w:rsidRPr="004D13AE">
        <w:rPr>
          <w:rFonts w:eastAsia="Calibri"/>
        </w:rPr>
        <w:t xml:space="preserve"> tab</w:t>
      </w:r>
    </w:p>
    <w:p w14:paraId="43E0BDFA" w14:textId="77777777" w:rsidR="009227AB" w:rsidRPr="009227AB" w:rsidRDefault="00023C79" w:rsidP="009227AB">
      <w:pPr>
        <w:pStyle w:val="BulletInList"/>
        <w:tabs>
          <w:tab w:val="clear" w:pos="993"/>
          <w:tab w:val="num" w:pos="2416"/>
        </w:tabs>
        <w:ind w:left="2416"/>
      </w:pPr>
      <w:r w:rsidRPr="004D13AE">
        <w:rPr>
          <w:rFonts w:eastAsia="Calibri"/>
          <w:b/>
        </w:rPr>
        <w:t>Authorization</w:t>
      </w:r>
      <w:r w:rsidRPr="004D13AE">
        <w:rPr>
          <w:rFonts w:eastAsia="Calibri"/>
        </w:rPr>
        <w:t xml:space="preserve"> tab</w:t>
      </w:r>
    </w:p>
    <w:p w14:paraId="43E0BDFB" w14:textId="77777777" w:rsidR="009227AB" w:rsidRPr="009227AB" w:rsidRDefault="00023C79" w:rsidP="009227AB">
      <w:pPr>
        <w:pStyle w:val="BulletInList"/>
        <w:tabs>
          <w:tab w:val="clear" w:pos="993"/>
          <w:tab w:val="num" w:pos="2416"/>
        </w:tabs>
        <w:ind w:left="2416"/>
      </w:pPr>
      <w:r w:rsidRPr="004D13AE">
        <w:rPr>
          <w:rFonts w:eastAsia="Calibri"/>
          <w:b/>
        </w:rPr>
        <w:t>Profile</w:t>
      </w:r>
      <w:r w:rsidRPr="004D13AE">
        <w:rPr>
          <w:rFonts w:eastAsia="Calibri"/>
        </w:rPr>
        <w:t xml:space="preserve"> tab</w:t>
      </w:r>
    </w:p>
    <w:p w14:paraId="43E0BDFC" w14:textId="77777777" w:rsidR="00023C79" w:rsidRPr="00742C3F" w:rsidRDefault="00023C79" w:rsidP="009227AB">
      <w:pPr>
        <w:pStyle w:val="BulletInList"/>
        <w:tabs>
          <w:tab w:val="clear" w:pos="993"/>
          <w:tab w:val="num" w:pos="2416"/>
        </w:tabs>
        <w:ind w:left="2416"/>
      </w:pPr>
      <w:r w:rsidRPr="004D13AE">
        <w:rPr>
          <w:rFonts w:eastAsia="Calibri"/>
        </w:rPr>
        <w:t>RMU trade ticket</w:t>
      </w:r>
    </w:p>
    <w:p w14:paraId="43E0BDFD" w14:textId="77777777" w:rsidR="00023C79" w:rsidRPr="004D13AE" w:rsidRDefault="00023C79" w:rsidP="00023C79">
      <w:pPr>
        <w:pStyle w:val="NumListdocs"/>
        <w:rPr>
          <w:rFonts w:eastAsia="Calibri"/>
        </w:rPr>
      </w:pPr>
      <w:r w:rsidRPr="004D13AE">
        <w:rPr>
          <w:rFonts w:eastAsia="Calibri"/>
        </w:rPr>
        <w:t xml:space="preserve">Have a second OA verify the New Instrument in </w:t>
      </w:r>
      <w:proofErr w:type="spellStart"/>
      <w:r w:rsidRPr="004D13AE">
        <w:rPr>
          <w:rFonts w:eastAsia="Calibri"/>
        </w:rPr>
        <w:t>Findur</w:t>
      </w:r>
      <w:proofErr w:type="spellEnd"/>
      <w:r w:rsidRPr="004D13AE">
        <w:rPr>
          <w:rFonts w:eastAsia="Calibri"/>
        </w:rPr>
        <w:t xml:space="preserve"> and the spreadsheet.</w:t>
      </w:r>
    </w:p>
    <w:p w14:paraId="43E0BDFE" w14:textId="77777777" w:rsidR="00023C79" w:rsidRPr="004D13AE" w:rsidRDefault="00023C79" w:rsidP="00023C79">
      <w:pPr>
        <w:pStyle w:val="NumListdocs"/>
        <w:rPr>
          <w:rFonts w:eastAsia="Calibri"/>
        </w:rPr>
      </w:pPr>
      <w:r w:rsidRPr="004D13AE">
        <w:rPr>
          <w:rFonts w:eastAsia="Calibri"/>
        </w:rPr>
        <w:t xml:space="preserve">Reply All to the email from </w:t>
      </w:r>
      <w:proofErr w:type="gramStart"/>
      <w:r w:rsidRPr="004D13AE">
        <w:rPr>
          <w:rFonts w:eastAsia="Calibri"/>
        </w:rPr>
        <w:t>FRM, and</w:t>
      </w:r>
      <w:proofErr w:type="gramEnd"/>
      <w:r w:rsidRPr="004D13AE">
        <w:rPr>
          <w:rFonts w:eastAsia="Calibri"/>
        </w:rPr>
        <w:t xml:space="preserve"> add </w:t>
      </w:r>
      <w:hyperlink r:id="rId27" w:history="1">
        <w:r w:rsidR="003D1BC0" w:rsidRPr="00374884">
          <w:rPr>
            <w:rStyle w:val="Hyperlink"/>
            <w:rFonts w:eastAsia="Calibri"/>
          </w:rPr>
          <w:t>FRO-Reporting@bank-banque-canada.ca</w:t>
        </w:r>
      </w:hyperlink>
      <w:r w:rsidRPr="00742C3F">
        <w:t xml:space="preserve">, </w:t>
      </w:r>
      <w:r>
        <w:t>and i</w:t>
      </w:r>
      <w:r w:rsidRPr="004D13AE">
        <w:rPr>
          <w:rFonts w:eastAsia="Calibri"/>
        </w:rPr>
        <w:t>nclude the Instrument Number and the Bloomberg’s DES page</w:t>
      </w:r>
      <w:r w:rsidR="005D0B65">
        <w:rPr>
          <w:rFonts w:eastAsia="Calibri"/>
        </w:rPr>
        <w:t xml:space="preserve"> if not provided already by FRM</w:t>
      </w:r>
      <w:r w:rsidRPr="004D13AE">
        <w:rPr>
          <w:rFonts w:eastAsia="Calibri"/>
        </w:rPr>
        <w:t>.</w:t>
      </w:r>
    </w:p>
    <w:sectPr w:rsidR="00023C79" w:rsidRPr="004D13AE" w:rsidSect="00796CD6">
      <w:headerReference w:type="default" r:id="rId28"/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F4FB" w14:textId="77777777" w:rsidR="007E550C" w:rsidRDefault="007E550C" w:rsidP="00953A86">
      <w:r>
        <w:separator/>
      </w:r>
    </w:p>
  </w:endnote>
  <w:endnote w:type="continuationSeparator" w:id="0">
    <w:p w14:paraId="1B4684C9" w14:textId="77777777" w:rsidR="007E550C" w:rsidRDefault="007E550C" w:rsidP="00953A86">
      <w:r>
        <w:continuationSeparator/>
      </w:r>
    </w:p>
  </w:endnote>
  <w:endnote w:type="continuationNotice" w:id="1">
    <w:p w14:paraId="4C3875F6" w14:textId="77777777" w:rsidR="007E550C" w:rsidRDefault="007E5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8" w:space="0" w:color="auto"/>
      </w:tblBorders>
      <w:tblLook w:val="01E0" w:firstRow="1" w:lastRow="1" w:firstColumn="1" w:lastColumn="1" w:noHBand="0" w:noVBand="0"/>
    </w:tblPr>
    <w:tblGrid>
      <w:gridCol w:w="4380"/>
      <w:gridCol w:w="4980"/>
    </w:tblGrid>
    <w:tr w:rsidR="004716F5" w:rsidRPr="00B92B37" w14:paraId="43E0BE20" w14:textId="77777777" w:rsidTr="00E65C49">
      <w:tc>
        <w:tcPr>
          <w:tcW w:w="4380" w:type="dxa"/>
        </w:tcPr>
        <w:p w14:paraId="43E0BE1D" w14:textId="77777777" w:rsidR="004716F5" w:rsidRDefault="004716F5" w:rsidP="00E65C49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Created: 2018/07 Maddy Knuth</w:t>
          </w:r>
        </w:p>
        <w:p w14:paraId="43E0BE1E" w14:textId="77777777" w:rsidR="004716F5" w:rsidRPr="00B92B37" w:rsidRDefault="004716F5" w:rsidP="00E65C49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Updated: </w:t>
          </w:r>
          <w:proofErr w:type="spellStart"/>
          <w:r>
            <w:rPr>
              <w:sz w:val="16"/>
              <w:szCs w:val="16"/>
            </w:rPr>
            <w:t>yyyy</w:t>
          </w:r>
          <w:proofErr w:type="spellEnd"/>
          <w:r>
            <w:rPr>
              <w:sz w:val="16"/>
              <w:szCs w:val="16"/>
            </w:rPr>
            <w:t>/mm Name</w:t>
          </w:r>
        </w:p>
      </w:tc>
      <w:tc>
        <w:tcPr>
          <w:tcW w:w="4980" w:type="dxa"/>
        </w:tcPr>
        <w:p w14:paraId="43E0BE1F" w14:textId="77777777" w:rsidR="004716F5" w:rsidRPr="00B92B37" w:rsidRDefault="004716F5" w:rsidP="00E65C49">
          <w:pPr>
            <w:pStyle w:val="Footer"/>
            <w:jc w:val="right"/>
            <w:rPr>
              <w:sz w:val="16"/>
              <w:szCs w:val="16"/>
            </w:rPr>
          </w:pPr>
          <w:r w:rsidRPr="00B92B37">
            <w:rPr>
              <w:sz w:val="16"/>
              <w:szCs w:val="16"/>
            </w:rPr>
            <w:t xml:space="preserve">Created for: </w:t>
          </w:r>
          <w:r>
            <w:rPr>
              <w:sz w:val="16"/>
              <w:szCs w:val="16"/>
            </w:rPr>
            <w:t>FMD &gt; TASS</w:t>
          </w:r>
        </w:p>
      </w:tc>
    </w:tr>
    <w:tr w:rsidR="004716F5" w:rsidRPr="00B92B37" w14:paraId="43E0BE23" w14:textId="77777777" w:rsidTr="00E65C49">
      <w:tc>
        <w:tcPr>
          <w:tcW w:w="4380" w:type="dxa"/>
        </w:tcPr>
        <w:p w14:paraId="43E0BE21" w14:textId="77777777" w:rsidR="004716F5" w:rsidRPr="00B92B37" w:rsidRDefault="004716F5" w:rsidP="00E65C49">
          <w:pPr>
            <w:pStyle w:val="Footer"/>
            <w:rPr>
              <w:sz w:val="16"/>
              <w:szCs w:val="16"/>
            </w:rPr>
          </w:pPr>
        </w:p>
      </w:tc>
      <w:tc>
        <w:tcPr>
          <w:tcW w:w="4980" w:type="dxa"/>
        </w:tcPr>
        <w:p w14:paraId="43E0BE22" w14:textId="77777777" w:rsidR="004716F5" w:rsidRPr="00B92B37" w:rsidRDefault="004716F5" w:rsidP="00E65C49">
          <w:pPr>
            <w:pStyle w:val="Footer"/>
            <w:jc w:val="right"/>
            <w:rPr>
              <w:b/>
              <w:sz w:val="16"/>
              <w:szCs w:val="16"/>
            </w:rPr>
          </w:pPr>
          <w:r w:rsidRPr="00B92B37">
            <w:rPr>
              <w:b/>
              <w:sz w:val="16"/>
              <w:szCs w:val="16"/>
            </w:rPr>
            <w:t xml:space="preserve">Page </w:t>
          </w:r>
          <w:r w:rsidRPr="00B92B37">
            <w:rPr>
              <w:b/>
              <w:sz w:val="16"/>
              <w:szCs w:val="16"/>
            </w:rPr>
            <w:fldChar w:fldCharType="begin"/>
          </w:r>
          <w:r w:rsidRPr="00B92B37">
            <w:rPr>
              <w:b/>
              <w:sz w:val="16"/>
              <w:szCs w:val="16"/>
            </w:rPr>
            <w:instrText xml:space="preserve"> PAGE </w:instrText>
          </w:r>
          <w:r w:rsidRPr="00B92B37">
            <w:rPr>
              <w:b/>
              <w:sz w:val="16"/>
              <w:szCs w:val="16"/>
            </w:rPr>
            <w:fldChar w:fldCharType="separate"/>
          </w:r>
          <w:r w:rsidR="003D1BC0">
            <w:rPr>
              <w:b/>
              <w:noProof/>
              <w:sz w:val="16"/>
              <w:szCs w:val="16"/>
            </w:rPr>
            <w:t>11</w:t>
          </w:r>
          <w:r w:rsidRPr="00B92B37">
            <w:rPr>
              <w:b/>
              <w:sz w:val="16"/>
              <w:szCs w:val="16"/>
            </w:rPr>
            <w:fldChar w:fldCharType="end"/>
          </w:r>
          <w:r w:rsidRPr="00B92B37">
            <w:rPr>
              <w:b/>
              <w:sz w:val="16"/>
              <w:szCs w:val="16"/>
            </w:rPr>
            <w:t xml:space="preserve"> of </w:t>
          </w:r>
          <w:r w:rsidRPr="00B92B37">
            <w:rPr>
              <w:b/>
              <w:sz w:val="16"/>
              <w:szCs w:val="16"/>
            </w:rPr>
            <w:fldChar w:fldCharType="begin"/>
          </w:r>
          <w:r w:rsidRPr="00B92B37">
            <w:rPr>
              <w:b/>
              <w:sz w:val="16"/>
              <w:szCs w:val="16"/>
            </w:rPr>
            <w:instrText xml:space="preserve"> NUMPAGES </w:instrText>
          </w:r>
          <w:r w:rsidRPr="00B92B37">
            <w:rPr>
              <w:b/>
              <w:sz w:val="16"/>
              <w:szCs w:val="16"/>
            </w:rPr>
            <w:fldChar w:fldCharType="separate"/>
          </w:r>
          <w:r w:rsidR="003D1BC0">
            <w:rPr>
              <w:b/>
              <w:noProof/>
              <w:sz w:val="16"/>
              <w:szCs w:val="16"/>
            </w:rPr>
            <w:t>11</w:t>
          </w:r>
          <w:r w:rsidRPr="00B92B37">
            <w:rPr>
              <w:b/>
              <w:sz w:val="16"/>
              <w:szCs w:val="16"/>
            </w:rPr>
            <w:fldChar w:fldCharType="end"/>
          </w:r>
        </w:p>
      </w:tc>
    </w:tr>
  </w:tbl>
  <w:p w14:paraId="43E0BE24" w14:textId="77777777" w:rsidR="004716F5" w:rsidRDefault="00471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3500" w14:textId="77777777" w:rsidR="007E550C" w:rsidRDefault="007E550C" w:rsidP="00953A86">
      <w:r>
        <w:separator/>
      </w:r>
    </w:p>
  </w:footnote>
  <w:footnote w:type="continuationSeparator" w:id="0">
    <w:p w14:paraId="22CE6928" w14:textId="77777777" w:rsidR="007E550C" w:rsidRDefault="007E550C" w:rsidP="00953A86">
      <w:r>
        <w:continuationSeparator/>
      </w:r>
    </w:p>
  </w:footnote>
  <w:footnote w:type="continuationNotice" w:id="1">
    <w:p w14:paraId="48DB96BD" w14:textId="77777777" w:rsidR="007E550C" w:rsidRDefault="007E55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085"/>
      <w:gridCol w:w="426"/>
      <w:gridCol w:w="6095"/>
    </w:tblGrid>
    <w:tr w:rsidR="004716F5" w:rsidRPr="000045DA" w14:paraId="43E0BE18" w14:textId="77777777" w:rsidTr="00F44890">
      <w:tc>
        <w:tcPr>
          <w:tcW w:w="3511" w:type="dxa"/>
          <w:gridSpan w:val="2"/>
        </w:tcPr>
        <w:p w14:paraId="43E0BE15" w14:textId="77777777" w:rsidR="004716F5" w:rsidRDefault="004716F5" w:rsidP="00054894">
          <w:pPr>
            <w:spacing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Financial</w:t>
          </w:r>
          <w:r w:rsidRPr="005B006D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Markets</w:t>
          </w:r>
        </w:p>
        <w:p w14:paraId="43E0BE16" w14:textId="77777777" w:rsidR="004716F5" w:rsidRPr="00B92B37" w:rsidRDefault="004716F5" w:rsidP="00054894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Department</w:t>
          </w:r>
        </w:p>
      </w:tc>
      <w:tc>
        <w:tcPr>
          <w:tcW w:w="6095" w:type="dxa"/>
        </w:tcPr>
        <w:p w14:paraId="43E0BE17" w14:textId="77777777" w:rsidR="004716F5" w:rsidRPr="00B92B37" w:rsidRDefault="004716F5" w:rsidP="00054894">
          <w:pPr>
            <w:pStyle w:val="Header"/>
          </w:pPr>
        </w:p>
      </w:tc>
    </w:tr>
    <w:tr w:rsidR="004716F5" w:rsidRPr="000045DA" w14:paraId="43E0BE1B" w14:textId="77777777" w:rsidTr="00F44890">
      <w:tc>
        <w:tcPr>
          <w:tcW w:w="3085" w:type="dxa"/>
        </w:tcPr>
        <w:p w14:paraId="43E0BE19" w14:textId="77777777" w:rsidR="004716F5" w:rsidRPr="00B92B37" w:rsidRDefault="004716F5" w:rsidP="00054894">
          <w:pPr>
            <w:pStyle w:val="Header"/>
          </w:pPr>
        </w:p>
      </w:tc>
      <w:tc>
        <w:tcPr>
          <w:tcW w:w="6521" w:type="dxa"/>
          <w:gridSpan w:val="2"/>
        </w:tcPr>
        <w:p w14:paraId="43E0BE1A" w14:textId="77777777" w:rsidR="004716F5" w:rsidRPr="00B40EB2" w:rsidRDefault="00C00F40" w:rsidP="00054894">
          <w:pPr>
            <w:pStyle w:val="Title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FINDUR – </w:t>
          </w:r>
          <w:r w:rsidR="004716F5">
            <w:rPr>
              <w:rFonts w:ascii="Arial" w:hAnsi="Arial" w:cs="Arial"/>
              <w:b/>
              <w:sz w:val="20"/>
              <w:szCs w:val="20"/>
            </w:rPr>
            <w:t xml:space="preserve">Creating </w:t>
          </w:r>
          <w:r>
            <w:rPr>
              <w:rFonts w:ascii="Arial" w:hAnsi="Arial" w:cs="Arial"/>
              <w:b/>
              <w:sz w:val="20"/>
              <w:szCs w:val="20"/>
            </w:rPr>
            <w:t>a Bond</w:t>
          </w:r>
        </w:p>
      </w:tc>
    </w:tr>
  </w:tbl>
  <w:p w14:paraId="43E0BE1C" w14:textId="77777777" w:rsidR="004716F5" w:rsidRDefault="004716F5" w:rsidP="00054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7F2EA1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BF05E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92115E"/>
    <w:multiLevelType w:val="hybridMultilevel"/>
    <w:tmpl w:val="63D2F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6AF6"/>
    <w:multiLevelType w:val="hybridMultilevel"/>
    <w:tmpl w:val="798461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3601A"/>
    <w:multiLevelType w:val="hybridMultilevel"/>
    <w:tmpl w:val="529462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3BF4"/>
    <w:multiLevelType w:val="hybridMultilevel"/>
    <w:tmpl w:val="78E8BDE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135091"/>
    <w:multiLevelType w:val="hybridMultilevel"/>
    <w:tmpl w:val="D2628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B2870"/>
    <w:multiLevelType w:val="hybridMultilevel"/>
    <w:tmpl w:val="F66411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3C21FE"/>
    <w:multiLevelType w:val="hybridMultilevel"/>
    <w:tmpl w:val="7A12868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206ABC"/>
    <w:multiLevelType w:val="hybridMultilevel"/>
    <w:tmpl w:val="35C2E1A4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FB92199"/>
    <w:multiLevelType w:val="hybridMultilevel"/>
    <w:tmpl w:val="6908B3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341FC7"/>
    <w:multiLevelType w:val="hybridMultilevel"/>
    <w:tmpl w:val="913E84F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910F32"/>
    <w:multiLevelType w:val="hybridMultilevel"/>
    <w:tmpl w:val="C0F055B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FF6F39"/>
    <w:multiLevelType w:val="hybridMultilevel"/>
    <w:tmpl w:val="679C3A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6A3D30"/>
    <w:multiLevelType w:val="hybridMultilevel"/>
    <w:tmpl w:val="39806B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982199"/>
    <w:multiLevelType w:val="hybridMultilevel"/>
    <w:tmpl w:val="6DAE0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C08D0"/>
    <w:multiLevelType w:val="hybridMultilevel"/>
    <w:tmpl w:val="7646D30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6B244E"/>
    <w:multiLevelType w:val="hybridMultilevel"/>
    <w:tmpl w:val="057CD59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DB04D7A"/>
    <w:multiLevelType w:val="hybridMultilevel"/>
    <w:tmpl w:val="27927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40D07"/>
    <w:multiLevelType w:val="hybridMultilevel"/>
    <w:tmpl w:val="97B2FED2"/>
    <w:lvl w:ilvl="0" w:tplc="02B89446">
      <w:start w:val="1"/>
      <w:numFmt w:val="decimal"/>
      <w:pStyle w:val="NumListdocs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75048"/>
    <w:multiLevelType w:val="hybridMultilevel"/>
    <w:tmpl w:val="7548C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9"/>
  </w:num>
  <w:num w:numId="5">
    <w:abstractNumId w:val="12"/>
  </w:num>
  <w:num w:numId="6">
    <w:abstractNumId w:val="6"/>
  </w:num>
  <w:num w:numId="7">
    <w:abstractNumId w:val="2"/>
  </w:num>
  <w:num w:numId="8">
    <w:abstractNumId w:val="7"/>
  </w:num>
  <w:num w:numId="9">
    <w:abstractNumId w:val="18"/>
  </w:num>
  <w:num w:numId="10">
    <w:abstractNumId w:val="5"/>
  </w:num>
  <w:num w:numId="11">
    <w:abstractNumId w:val="4"/>
  </w:num>
  <w:num w:numId="12">
    <w:abstractNumId w:val="15"/>
  </w:num>
  <w:num w:numId="13">
    <w:abstractNumId w:val="3"/>
  </w:num>
  <w:num w:numId="14">
    <w:abstractNumId w:val="9"/>
  </w:num>
  <w:num w:numId="15">
    <w:abstractNumId w:val="17"/>
  </w:num>
  <w:num w:numId="16">
    <w:abstractNumId w:val="16"/>
  </w:num>
  <w:num w:numId="17">
    <w:abstractNumId w:val="8"/>
  </w:num>
  <w:num w:numId="18">
    <w:abstractNumId w:val="11"/>
  </w:num>
  <w:num w:numId="19">
    <w:abstractNumId w:val="13"/>
  </w:num>
  <w:num w:numId="20">
    <w:abstractNumId w:val="20"/>
  </w:num>
  <w:num w:numId="21">
    <w:abstractNumId w:val="14"/>
  </w:num>
  <w:num w:numId="22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607"/>
    <w:rsid w:val="00000A68"/>
    <w:rsid w:val="000016A4"/>
    <w:rsid w:val="00023C79"/>
    <w:rsid w:val="00030044"/>
    <w:rsid w:val="0004470F"/>
    <w:rsid w:val="00054894"/>
    <w:rsid w:val="00077F23"/>
    <w:rsid w:val="000824A2"/>
    <w:rsid w:val="000862DB"/>
    <w:rsid w:val="00091A20"/>
    <w:rsid w:val="000A3115"/>
    <w:rsid w:val="000A3217"/>
    <w:rsid w:val="000B6FE8"/>
    <w:rsid w:val="000D3E72"/>
    <w:rsid w:val="000E40AF"/>
    <w:rsid w:val="000E6064"/>
    <w:rsid w:val="000F7F6D"/>
    <w:rsid w:val="00100A8E"/>
    <w:rsid w:val="00111A96"/>
    <w:rsid w:val="00116357"/>
    <w:rsid w:val="00123748"/>
    <w:rsid w:val="00137482"/>
    <w:rsid w:val="00137908"/>
    <w:rsid w:val="00141C65"/>
    <w:rsid w:val="00154BB8"/>
    <w:rsid w:val="00172FF8"/>
    <w:rsid w:val="00192350"/>
    <w:rsid w:val="001A6226"/>
    <w:rsid w:val="001A6B1D"/>
    <w:rsid w:val="001B1B85"/>
    <w:rsid w:val="001B55C7"/>
    <w:rsid w:val="001C135A"/>
    <w:rsid w:val="001D1818"/>
    <w:rsid w:val="001D4D69"/>
    <w:rsid w:val="001E1A48"/>
    <w:rsid w:val="001F12FF"/>
    <w:rsid w:val="001F31D6"/>
    <w:rsid w:val="0020229B"/>
    <w:rsid w:val="002223A9"/>
    <w:rsid w:val="002661F9"/>
    <w:rsid w:val="0028049B"/>
    <w:rsid w:val="002B03F9"/>
    <w:rsid w:val="002B1D56"/>
    <w:rsid w:val="002B74C6"/>
    <w:rsid w:val="002C4129"/>
    <w:rsid w:val="002E3511"/>
    <w:rsid w:val="002F2275"/>
    <w:rsid w:val="0030087B"/>
    <w:rsid w:val="00344D65"/>
    <w:rsid w:val="003534BB"/>
    <w:rsid w:val="00356C68"/>
    <w:rsid w:val="00381320"/>
    <w:rsid w:val="00391145"/>
    <w:rsid w:val="00393849"/>
    <w:rsid w:val="003A2AF3"/>
    <w:rsid w:val="003B7B12"/>
    <w:rsid w:val="003C5718"/>
    <w:rsid w:val="003D1BC0"/>
    <w:rsid w:val="003D6083"/>
    <w:rsid w:val="003D6AFE"/>
    <w:rsid w:val="003D7FC8"/>
    <w:rsid w:val="00413A18"/>
    <w:rsid w:val="004213F8"/>
    <w:rsid w:val="00423658"/>
    <w:rsid w:val="00430486"/>
    <w:rsid w:val="00435801"/>
    <w:rsid w:val="00436C7E"/>
    <w:rsid w:val="00445C28"/>
    <w:rsid w:val="00466F8D"/>
    <w:rsid w:val="004716F5"/>
    <w:rsid w:val="00493972"/>
    <w:rsid w:val="00494607"/>
    <w:rsid w:val="004D7F40"/>
    <w:rsid w:val="004E378B"/>
    <w:rsid w:val="004F106F"/>
    <w:rsid w:val="005175A7"/>
    <w:rsid w:val="005304F4"/>
    <w:rsid w:val="005307ED"/>
    <w:rsid w:val="005474E9"/>
    <w:rsid w:val="00552BAD"/>
    <w:rsid w:val="00580C8B"/>
    <w:rsid w:val="0058454C"/>
    <w:rsid w:val="005A0D2C"/>
    <w:rsid w:val="005B32A1"/>
    <w:rsid w:val="005B4F55"/>
    <w:rsid w:val="005C15A8"/>
    <w:rsid w:val="005C1634"/>
    <w:rsid w:val="005C58F9"/>
    <w:rsid w:val="005C6204"/>
    <w:rsid w:val="005D0B65"/>
    <w:rsid w:val="005E0E0B"/>
    <w:rsid w:val="005E590E"/>
    <w:rsid w:val="005E6DDA"/>
    <w:rsid w:val="005F0933"/>
    <w:rsid w:val="00615A74"/>
    <w:rsid w:val="00657497"/>
    <w:rsid w:val="00663004"/>
    <w:rsid w:val="006700F6"/>
    <w:rsid w:val="00685C25"/>
    <w:rsid w:val="00687813"/>
    <w:rsid w:val="00696A87"/>
    <w:rsid w:val="006A3B69"/>
    <w:rsid w:val="006A4B60"/>
    <w:rsid w:val="006B0BAA"/>
    <w:rsid w:val="006D27BA"/>
    <w:rsid w:val="006F61CE"/>
    <w:rsid w:val="007432AD"/>
    <w:rsid w:val="00746237"/>
    <w:rsid w:val="00753E87"/>
    <w:rsid w:val="00771D86"/>
    <w:rsid w:val="00773ECD"/>
    <w:rsid w:val="0077600E"/>
    <w:rsid w:val="0078109B"/>
    <w:rsid w:val="0078465C"/>
    <w:rsid w:val="00785DD7"/>
    <w:rsid w:val="00796CD6"/>
    <w:rsid w:val="007B514F"/>
    <w:rsid w:val="007D6DBA"/>
    <w:rsid w:val="007E550C"/>
    <w:rsid w:val="007F4C44"/>
    <w:rsid w:val="00820521"/>
    <w:rsid w:val="00826197"/>
    <w:rsid w:val="00833972"/>
    <w:rsid w:val="00847846"/>
    <w:rsid w:val="00877E5C"/>
    <w:rsid w:val="008904E7"/>
    <w:rsid w:val="008A1A18"/>
    <w:rsid w:val="008A4CB1"/>
    <w:rsid w:val="008A536A"/>
    <w:rsid w:val="008B0652"/>
    <w:rsid w:val="00904A3C"/>
    <w:rsid w:val="009055CE"/>
    <w:rsid w:val="00916D4E"/>
    <w:rsid w:val="00921835"/>
    <w:rsid w:val="009227AB"/>
    <w:rsid w:val="00922A9E"/>
    <w:rsid w:val="009316DF"/>
    <w:rsid w:val="009470FA"/>
    <w:rsid w:val="00953A86"/>
    <w:rsid w:val="00960C26"/>
    <w:rsid w:val="009678F4"/>
    <w:rsid w:val="00973D7C"/>
    <w:rsid w:val="00977C05"/>
    <w:rsid w:val="0098051F"/>
    <w:rsid w:val="009D7A97"/>
    <w:rsid w:val="009E20DE"/>
    <w:rsid w:val="00A12CDD"/>
    <w:rsid w:val="00A35D0B"/>
    <w:rsid w:val="00A44BAD"/>
    <w:rsid w:val="00A72F13"/>
    <w:rsid w:val="00AA4DCB"/>
    <w:rsid w:val="00AB00B8"/>
    <w:rsid w:val="00AD6861"/>
    <w:rsid w:val="00AF7335"/>
    <w:rsid w:val="00B014D5"/>
    <w:rsid w:val="00B10736"/>
    <w:rsid w:val="00B2614B"/>
    <w:rsid w:val="00B31D64"/>
    <w:rsid w:val="00B40D4C"/>
    <w:rsid w:val="00B42C57"/>
    <w:rsid w:val="00B649CE"/>
    <w:rsid w:val="00B67172"/>
    <w:rsid w:val="00B8024B"/>
    <w:rsid w:val="00B9580D"/>
    <w:rsid w:val="00BA5CC1"/>
    <w:rsid w:val="00BA6CCD"/>
    <w:rsid w:val="00BB6568"/>
    <w:rsid w:val="00BC228A"/>
    <w:rsid w:val="00BC2C3A"/>
    <w:rsid w:val="00BE6884"/>
    <w:rsid w:val="00C00F40"/>
    <w:rsid w:val="00C05DB4"/>
    <w:rsid w:val="00C154F8"/>
    <w:rsid w:val="00C15DF3"/>
    <w:rsid w:val="00C450C2"/>
    <w:rsid w:val="00C47DC7"/>
    <w:rsid w:val="00C55EEA"/>
    <w:rsid w:val="00C577E4"/>
    <w:rsid w:val="00C66655"/>
    <w:rsid w:val="00C83562"/>
    <w:rsid w:val="00C87602"/>
    <w:rsid w:val="00CA4A04"/>
    <w:rsid w:val="00CC45CB"/>
    <w:rsid w:val="00CD342F"/>
    <w:rsid w:val="00CE6794"/>
    <w:rsid w:val="00CF2193"/>
    <w:rsid w:val="00CF5A7E"/>
    <w:rsid w:val="00D0774A"/>
    <w:rsid w:val="00D24396"/>
    <w:rsid w:val="00D610F8"/>
    <w:rsid w:val="00D7182D"/>
    <w:rsid w:val="00DA2F13"/>
    <w:rsid w:val="00DC65F4"/>
    <w:rsid w:val="00DE5725"/>
    <w:rsid w:val="00DE5F6E"/>
    <w:rsid w:val="00DE7157"/>
    <w:rsid w:val="00DF2D60"/>
    <w:rsid w:val="00E072C7"/>
    <w:rsid w:val="00E227AB"/>
    <w:rsid w:val="00E32537"/>
    <w:rsid w:val="00E34CF2"/>
    <w:rsid w:val="00E552F6"/>
    <w:rsid w:val="00E65C49"/>
    <w:rsid w:val="00E920C8"/>
    <w:rsid w:val="00EA653F"/>
    <w:rsid w:val="00EB1045"/>
    <w:rsid w:val="00EC2569"/>
    <w:rsid w:val="00EC54D7"/>
    <w:rsid w:val="00ED21E7"/>
    <w:rsid w:val="00ED37AC"/>
    <w:rsid w:val="00ED525B"/>
    <w:rsid w:val="00F422DC"/>
    <w:rsid w:val="00F44890"/>
    <w:rsid w:val="00F50380"/>
    <w:rsid w:val="00F55CFC"/>
    <w:rsid w:val="00F649B5"/>
    <w:rsid w:val="00F6552C"/>
    <w:rsid w:val="00F663DF"/>
    <w:rsid w:val="00F822AF"/>
    <w:rsid w:val="00F92F6B"/>
    <w:rsid w:val="00FB6413"/>
    <w:rsid w:val="00FE1E59"/>
    <w:rsid w:val="00FF2D6E"/>
    <w:rsid w:val="0D36F485"/>
    <w:rsid w:val="0F4315DD"/>
    <w:rsid w:val="160ADEBD"/>
    <w:rsid w:val="2D1A29F6"/>
    <w:rsid w:val="30D17C24"/>
    <w:rsid w:val="3F7D0D1B"/>
    <w:rsid w:val="51A12888"/>
    <w:rsid w:val="53CA5F50"/>
    <w:rsid w:val="59EE9322"/>
    <w:rsid w:val="6153DE79"/>
    <w:rsid w:val="684C88C5"/>
    <w:rsid w:val="6A9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BCB8"/>
  <w15:docId w15:val="{9557556F-FB6B-4CBF-ACBD-CB9D43B1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94"/>
    <w:pPr>
      <w:spacing w:after="160" w:line="242" w:lineRule="auto"/>
      <w:ind w:right="217"/>
    </w:pPr>
    <w:rPr>
      <w:rFonts w:ascii="Arial" w:eastAsiaTheme="minorHAnsi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EEA"/>
    <w:pPr>
      <w:keepNext/>
      <w:keepLines/>
      <w:spacing w:before="240" w:after="240"/>
      <w:ind w:right="215"/>
      <w:outlineLvl w:val="0"/>
    </w:pPr>
    <w:rPr>
      <w:rFonts w:eastAsiaTheme="majorEastAsia" w:cstheme="majorBidi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649CE"/>
    <w:pPr>
      <w:keepNext/>
      <w:keepLines/>
      <w:spacing w:before="240" w:after="120"/>
      <w:outlineLvl w:val="1"/>
    </w:pPr>
    <w:rPr>
      <w:rFonts w:eastAsiaTheme="majorEastAsia" w:cstheme="majorBidi"/>
      <w:b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894"/>
    <w:pPr>
      <w:keepNext/>
      <w:keepLines/>
      <w:spacing w:before="200" w:after="120" w:line="240" w:lineRule="auto"/>
      <w:ind w:right="215"/>
      <w:outlineLvl w:val="2"/>
    </w:pPr>
    <w:rPr>
      <w:rFonts w:eastAsiaTheme="majorEastAsia" w:cstheme="majorBidi"/>
      <w:b/>
      <w:bCs/>
      <w:i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894"/>
    <w:pPr>
      <w:keepNext/>
      <w:keepLines/>
      <w:spacing w:before="240" w:after="120"/>
      <w:ind w:left="357" w:hanging="357"/>
      <w:outlineLvl w:val="3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EEA"/>
    <w:rPr>
      <w:rFonts w:ascii="Arial" w:eastAsiaTheme="majorEastAsia" w:hAnsi="Arial" w:cstheme="majorBidi"/>
      <w:b/>
      <w:sz w:val="34"/>
      <w:szCs w:val="32"/>
    </w:rPr>
  </w:style>
  <w:style w:type="character" w:customStyle="1" w:styleId="Heading2Char">
    <w:name w:val="Heading 2 Char"/>
    <w:basedOn w:val="DefaultParagraphFont"/>
    <w:link w:val="Heading2"/>
    <w:rsid w:val="00B649CE"/>
    <w:rPr>
      <w:rFonts w:ascii="Arial" w:eastAsiaTheme="majorEastAsia" w:hAnsi="Arial" w:cstheme="majorBidi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894"/>
    <w:rPr>
      <w:rFonts w:ascii="Arial" w:eastAsiaTheme="majorEastAsia" w:hAnsi="Arial" w:cstheme="majorBidi"/>
      <w:b/>
      <w:bCs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54894"/>
    <w:pPr>
      <w:ind w:left="720"/>
      <w:contextualSpacing/>
    </w:pPr>
  </w:style>
  <w:style w:type="table" w:styleId="TableGrid">
    <w:name w:val="Table Grid"/>
    <w:basedOn w:val="TableNormal"/>
    <w:uiPriority w:val="59"/>
    <w:rsid w:val="00054894"/>
    <w:pPr>
      <w:spacing w:after="0" w:line="240" w:lineRule="auto"/>
    </w:pPr>
    <w:rPr>
      <w:rFonts w:ascii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94"/>
    <w:rPr>
      <w:rFonts w:ascii="Segoe UI" w:eastAsiaTheme="minorHAnsi" w:hAnsi="Segoe UI" w:cs="Segoe UI"/>
      <w:sz w:val="18"/>
      <w:szCs w:val="18"/>
    </w:rPr>
  </w:style>
  <w:style w:type="paragraph" w:customStyle="1" w:styleId="TOCTitle">
    <w:name w:val="TOC Title"/>
    <w:basedOn w:val="Normal"/>
    <w:rsid w:val="00ED525B"/>
    <w:pPr>
      <w:pageBreakBefore/>
      <w:spacing w:after="240"/>
      <w:jc w:val="center"/>
    </w:pPr>
    <w:rPr>
      <w:b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054894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5489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54894"/>
    <w:pPr>
      <w:ind w:left="24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E072C7"/>
    <w:rPr>
      <w:rFonts w:ascii="Calibri" w:hAnsi="Calibri" w:cs="Times New Roman"/>
      <w:sz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54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8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894"/>
    <w:rPr>
      <w:rFonts w:ascii="Arial" w:eastAsiaTheme="minorHAns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894"/>
    <w:rPr>
      <w:rFonts w:ascii="Arial" w:eastAsiaTheme="minorHAnsi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0548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894"/>
    <w:rPr>
      <w:rFonts w:ascii="Arial" w:eastAsiaTheme="minorHAnsi" w:hAnsi="Arial" w:cs="Arial"/>
    </w:rPr>
  </w:style>
  <w:style w:type="paragraph" w:styleId="Footer">
    <w:name w:val="footer"/>
    <w:basedOn w:val="Normal"/>
    <w:link w:val="FooterChar"/>
    <w:uiPriority w:val="99"/>
    <w:rsid w:val="000548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894"/>
    <w:rPr>
      <w:rFonts w:ascii="Arial" w:eastAsiaTheme="minorHAnsi" w:hAnsi="Arial" w:cs="Arial"/>
    </w:rPr>
  </w:style>
  <w:style w:type="paragraph" w:styleId="ListBullet3">
    <w:name w:val="List Bullet 3"/>
    <w:basedOn w:val="Normal"/>
    <w:uiPriority w:val="99"/>
    <w:unhideWhenUsed/>
    <w:rsid w:val="00054894"/>
    <w:pPr>
      <w:numPr>
        <w:numId w:val="2"/>
      </w:numPr>
      <w:contextualSpacing/>
    </w:pPr>
  </w:style>
  <w:style w:type="paragraph" w:customStyle="1" w:styleId="Bullet">
    <w:name w:val="Bullet"/>
    <w:basedOn w:val="ListBullet3"/>
    <w:link w:val="BulletChar"/>
    <w:qFormat/>
    <w:rsid w:val="00054894"/>
    <w:pPr>
      <w:spacing w:line="360" w:lineRule="auto"/>
      <w:ind w:left="714" w:hanging="357"/>
    </w:pPr>
    <w:rPr>
      <w:rFonts w:eastAsia="Times New Roman" w:cs="Times New Roman"/>
      <w:szCs w:val="24"/>
      <w:lang w:val="en-US"/>
    </w:rPr>
  </w:style>
  <w:style w:type="character" w:customStyle="1" w:styleId="BulletChar">
    <w:name w:val="Bullet Char"/>
    <w:basedOn w:val="DefaultParagraphFont"/>
    <w:link w:val="Bullet"/>
    <w:rsid w:val="00054894"/>
    <w:rPr>
      <w:rFonts w:ascii="Arial" w:hAnsi="Arial" w:cs="Times New Roman"/>
      <w:szCs w:val="24"/>
      <w:lang w:val="en-US"/>
    </w:rPr>
  </w:style>
  <w:style w:type="paragraph" w:customStyle="1" w:styleId="BulletInList">
    <w:name w:val="BulletInList"/>
    <w:basedOn w:val="Bullet"/>
    <w:link w:val="BulletInListChar"/>
    <w:qFormat/>
    <w:rsid w:val="007F4C44"/>
    <w:pPr>
      <w:tabs>
        <w:tab w:val="clear" w:pos="926"/>
        <w:tab w:val="num" w:pos="993"/>
      </w:tabs>
      <w:spacing w:after="120" w:line="240" w:lineRule="auto"/>
      <w:ind w:left="993" w:right="215" w:hanging="256"/>
      <w:contextualSpacing w:val="0"/>
    </w:pPr>
  </w:style>
  <w:style w:type="character" w:customStyle="1" w:styleId="BulletInListChar">
    <w:name w:val="BulletInList Char"/>
    <w:basedOn w:val="BulletChar"/>
    <w:link w:val="BulletInList"/>
    <w:rsid w:val="007F4C44"/>
    <w:rPr>
      <w:rFonts w:ascii="Arial" w:hAnsi="Arial" w:cs="Times New Roman"/>
      <w:szCs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54894"/>
    <w:pPr>
      <w:keepNext/>
      <w:jc w:val="center"/>
    </w:pPr>
    <w:rPr>
      <w:b/>
      <w:bCs/>
      <w:sz w:val="18"/>
      <w:szCs w:val="18"/>
    </w:rPr>
  </w:style>
  <w:style w:type="character" w:styleId="Emphasis">
    <w:name w:val="Emphasis"/>
    <w:aliases w:val="Comment docs"/>
    <w:basedOn w:val="DefaultParagraphFont"/>
    <w:uiPriority w:val="20"/>
    <w:qFormat/>
    <w:rsid w:val="000548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54894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5489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48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4894"/>
    <w:rPr>
      <w:rFonts w:ascii="Arial" w:eastAsiaTheme="minorHAnsi" w:hAnsi="Arial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54894"/>
    <w:rPr>
      <w:rFonts w:ascii="Arial" w:eastAsiaTheme="majorEastAsia" w:hAnsi="Arial" w:cstheme="majorBidi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054894"/>
    <w:rPr>
      <w:color w:val="0000FF" w:themeColor="hyperlink"/>
      <w:u w:val="single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054894"/>
    <w:pPr>
      <w:numPr>
        <w:numId w:val="3"/>
      </w:numPr>
      <w:spacing w:after="0" w:line="240" w:lineRule="auto"/>
      <w:contextualSpacing/>
    </w:pPr>
    <w:rPr>
      <w:rFonts w:eastAsia="Times New Roman" w:cs="Times New Roman"/>
      <w:szCs w:val="24"/>
      <w:lang w:val="en-US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054894"/>
    <w:rPr>
      <w:rFonts w:ascii="Arial" w:hAnsi="Arial" w:cs="Times New Roman"/>
      <w:szCs w:val="24"/>
      <w:lang w:val="en-US"/>
    </w:rPr>
  </w:style>
  <w:style w:type="paragraph" w:styleId="NoSpacing">
    <w:name w:val="No Spacing"/>
    <w:aliases w:val="Path"/>
    <w:next w:val="Normal"/>
    <w:link w:val="NoSpacingChar"/>
    <w:uiPriority w:val="1"/>
    <w:qFormat/>
    <w:rsid w:val="00C55EEA"/>
    <w:pPr>
      <w:spacing w:after="0" w:line="240" w:lineRule="auto"/>
      <w:ind w:left="1077" w:right="215"/>
    </w:pPr>
    <w:rPr>
      <w:rFonts w:ascii="Arial" w:eastAsiaTheme="minorHAnsi" w:hAnsi="Arial" w:cs="Arial"/>
      <w:sz w:val="20"/>
    </w:rPr>
  </w:style>
  <w:style w:type="paragraph" w:styleId="NormalWeb">
    <w:name w:val="Normal (Web)"/>
    <w:basedOn w:val="Normal"/>
    <w:uiPriority w:val="99"/>
    <w:semiHidden/>
    <w:unhideWhenUsed/>
    <w:rsid w:val="00054894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te">
    <w:name w:val="Note"/>
    <w:basedOn w:val="Normal"/>
    <w:link w:val="NoteChar"/>
    <w:rsid w:val="00820521"/>
    <w:pPr>
      <w:tabs>
        <w:tab w:val="left" w:pos="567"/>
      </w:tabs>
      <w:autoSpaceDE w:val="0"/>
      <w:autoSpaceDN w:val="0"/>
      <w:adjustRightInd w:val="0"/>
      <w:spacing w:after="0" w:line="240" w:lineRule="auto"/>
      <w:ind w:left="360" w:right="0"/>
    </w:pPr>
    <w:rPr>
      <w:rFonts w:eastAsia="Times New Roman"/>
      <w:color w:val="000000"/>
      <w:sz w:val="24"/>
      <w:szCs w:val="24"/>
      <w:lang w:eastAsia="en-CA"/>
    </w:rPr>
  </w:style>
  <w:style w:type="character" w:customStyle="1" w:styleId="NoteChar">
    <w:name w:val="Note Char"/>
    <w:basedOn w:val="DefaultParagraphFont"/>
    <w:link w:val="Note"/>
    <w:rsid w:val="00820521"/>
    <w:rPr>
      <w:rFonts w:ascii="Arial" w:hAnsi="Arial" w:cs="Arial"/>
      <w:color w:val="000000"/>
      <w:sz w:val="24"/>
      <w:szCs w:val="24"/>
      <w:lang w:eastAsia="en-CA"/>
    </w:rPr>
  </w:style>
  <w:style w:type="paragraph" w:customStyle="1" w:styleId="NumListdocs">
    <w:name w:val="NumList docs"/>
    <w:basedOn w:val="ListParagraph"/>
    <w:qFormat/>
    <w:rsid w:val="00054894"/>
    <w:pPr>
      <w:numPr>
        <w:numId w:val="4"/>
      </w:numPr>
      <w:spacing w:after="120" w:line="240" w:lineRule="auto"/>
      <w:contextualSpacing w:val="0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054894"/>
    <w:rPr>
      <w:b/>
      <w:bCs/>
    </w:rPr>
  </w:style>
  <w:style w:type="table" w:customStyle="1" w:styleId="TableBasic">
    <w:name w:val="Table Basic"/>
    <w:basedOn w:val="TableGrid"/>
    <w:uiPriority w:val="99"/>
    <w:rsid w:val="00054894"/>
    <w:rPr>
      <w:rFonts w:ascii="Arial" w:hAnsi="Arial"/>
    </w:rPr>
    <w:tblPr/>
    <w:tblStylePr w:type="firstRow">
      <w:rPr>
        <w:rFonts w:ascii="Arial" w:hAnsi="Arial"/>
        <w:b/>
        <w:sz w:val="22"/>
      </w:rPr>
      <w:tblPr/>
      <w:tcPr>
        <w:shd w:val="clear" w:color="auto" w:fill="D9D9D9" w:themeFill="background1" w:themeFillShade="D9"/>
      </w:tcPr>
    </w:tblStylePr>
    <w:tblStylePr w:type="lastRow">
      <w:rPr>
        <w:rFonts w:ascii="Arial" w:hAnsi="Arial"/>
        <w:sz w:val="20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5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054894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54894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54894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54894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54894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54894"/>
    <w:pPr>
      <w:ind w:left="16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54894"/>
    <w:pPr>
      <w:spacing w:before="480" w:line="276" w:lineRule="auto"/>
      <w:outlineLvl w:val="9"/>
    </w:pPr>
    <w:rPr>
      <w:color w:val="365F91" w:themeColor="accent1" w:themeShade="BF"/>
    </w:rPr>
  </w:style>
  <w:style w:type="character" w:customStyle="1" w:styleId="NoSpacingChar">
    <w:name w:val="No Spacing Char"/>
    <w:aliases w:val="Path Char"/>
    <w:basedOn w:val="DefaultParagraphFont"/>
    <w:link w:val="NoSpacing"/>
    <w:uiPriority w:val="1"/>
    <w:rsid w:val="00C55EEA"/>
    <w:rPr>
      <w:rFonts w:ascii="Arial" w:eastAsiaTheme="minorHAnsi" w:hAnsi="Arial" w:cs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B55C7"/>
    <w:rPr>
      <w:color w:val="808080"/>
      <w:shd w:val="clear" w:color="auto" w:fill="E6E6E6"/>
    </w:rPr>
  </w:style>
  <w:style w:type="paragraph" w:customStyle="1" w:styleId="Body">
    <w:name w:val="Body"/>
    <w:basedOn w:val="Normal"/>
    <w:rsid w:val="00023C79"/>
    <w:pPr>
      <w:overflowPunct w:val="0"/>
      <w:autoSpaceDE w:val="0"/>
      <w:autoSpaceDN w:val="0"/>
      <w:adjustRightInd w:val="0"/>
      <w:spacing w:after="0" w:line="240" w:lineRule="auto"/>
      <w:ind w:right="0"/>
      <w:textAlignment w:val="baseline"/>
    </w:pPr>
    <w:rPr>
      <w:rFonts w:ascii="Times" w:eastAsia="Times New Roman" w:hAnsi="Times" w:cs="Times New Roman"/>
      <w:noProof/>
      <w:color w:val="000000"/>
      <w:sz w:val="24"/>
      <w:szCs w:val="20"/>
      <w:lang w:val="en-US"/>
    </w:rPr>
  </w:style>
  <w:style w:type="table" w:styleId="TableGridLight">
    <w:name w:val="Grid Table Light"/>
    <w:basedOn w:val="TableNormal"/>
    <w:uiPriority w:val="40"/>
    <w:rsid w:val="001F31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cc/sites/fbd/dm/_layouts/15/DocIdRedir.aspx?ID=BOCFBD-173-375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cc/sites/fbd/dm/_layouts/15/DocIdRedir.aspx?ID=BOCFBD-173-3026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7.png"/><Relationship Id="rId5" Type="http://schemas.openxmlformats.org/officeDocument/2006/relationships/customXml" Target="../customXml/item5.xml"/><Relationship Id="rId15" Type="http://schemas.openxmlformats.org/officeDocument/2006/relationships/hyperlink" Target="http://cc/sites/fbd/dm/_layouts/15/DocIdRedir.aspx?ID=BOCFBD-173-374" TargetMode="External"/><Relationship Id="rId23" Type="http://schemas.openxmlformats.org/officeDocument/2006/relationships/image" Target="cid:image001.jpg@01D81F39.439206B0" TargetMode="External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cc/sites/fbd/dm/_layouts/15/DocIdRedir.aspx?ID=BOCFBD-173-372" TargetMode="External"/><Relationship Id="rId22" Type="http://schemas.openxmlformats.org/officeDocument/2006/relationships/image" Target="media/image6.jpeg"/><Relationship Id="rId27" Type="http://schemas.openxmlformats.org/officeDocument/2006/relationships/hyperlink" Target="mailto:FRO-Reporting@bank-banque-canada.ca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um\AppData\Roaming\Microsoft\Templates\FM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35a7de49-b683-4164-88f8-c84c8842f202" ContentTypeId="0x0101001195684D2F137647AA5434A5CB73DF043A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953541-9517-43c8-9aab-99ea89c11ef5">
      <Value>7</Value>
    </TaxCatchAll>
    <BoCAuthor xmlns="d5953541-9517-43c8-9aab-99ea89c11ef5" xsi:nil="true"/>
    <_dlc_DocId xmlns="d5953541-9517-43c8-9aab-99ea89c11ef5">0000033D7Q</_dlc_DocId>
    <_dlc_DocIdUrl xmlns="d5953541-9517-43c8-9aab-99ea89c11ef5">
      <Url>https://bankofcanada.sharepoint.com/sites/D_FMD1_TASS_MO/_layouts/15/DocIdRedir.aspx?ID=0000033D7Q</Url>
      <Description>0000033D7Q</Description>
    </_dlc_DocIdUrl>
    <TaxKeywordTaxHTField xmlns="d5953541-9517-43c8-9aab-99ea89c11ef5">
      <Terms xmlns="http://schemas.microsoft.com/office/infopath/2007/PartnerControls"/>
    </TaxKeywordTaxHTField>
    <BoCRecordVital xmlns="d5953541-9517-43c8-9aab-99ea89c11ef5">No</BoCRecordVital>
    <BoCRecordData xmlns="d5953541-9517-43c8-9aab-99ea89c11ef5" xsi:nil="true"/>
    <jb748235b3584e39a49414778f37ede4 xmlns="d5953541-9517-43c8-9aab-99ea89c11ef5">
      <Terms xmlns="http://schemas.microsoft.com/office/infopath/2007/PartnerControls"/>
    </jb748235b3584e39a49414778f37ede4>
    <BoCMultiAuthor xmlns="d5953541-9517-43c8-9aab-99ea89c11ef5">
      <UserInfo>
        <DisplayName/>
        <AccountId xsi:nil="true"/>
        <AccountType/>
      </UserInfo>
    </BoCMultiAuthor>
    <BoCSourceSecondaryID xmlns="d5953541-9517-43c8-9aab-99ea89c11ef5" xsi:nil="true"/>
    <BoCContentID xmlns="d5953541-9517-43c8-9aab-99ea89c11ef5">0000033D7Q</BoCContentID>
    <BoCRecordDeclaredDate xmlns="d5953541-9517-43c8-9aab-99ea89c11ef5" xsi:nil="true"/>
    <o0ecdfd9bd014bd491b131fdc98e1882 xmlns="d5953541-9517-43c8-9aab-99ea89c11ef5">
      <Terms xmlns="http://schemas.microsoft.com/office/infopath/2007/PartnerControls"/>
    </o0ecdfd9bd014bd491b131fdc98e1882>
    <BoCComments xmlns="d5953541-9517-43c8-9aab-99ea89c11ef5">Approved by Alex Skupek, 26/07/2018</BoCComments>
    <hd483ece21554274b18384e0ca644c7e xmlns="d5953541-9517-43c8-9aab-99ea89c11ef5">
      <Terms xmlns="http://schemas.microsoft.com/office/infopath/2007/PartnerControls"/>
    </hd483ece21554274b18384e0ca644c7e>
    <BoCRecordState xmlns="d5953541-9517-43c8-9aab-99ea89c11ef5" xsi:nil="true"/>
    <BoCOriginalDocumentIDValue xmlns="d5953541-9517-43c8-9aab-99ea89c11ef5">0000033D7Q</BoCOriginalDocumentIDValue>
    <BoCRecordStatus xmlns="d5953541-9517-43c8-9aab-99ea89c11ef5" xsi:nil="true"/>
    <b4078637a8a142d79ee567a0e1b1b1dc xmlns="d5953541-9517-43c8-9aab-99ea89c11e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Markets</TermName>
          <TermId xmlns="http://schemas.microsoft.com/office/infopath/2007/PartnerControls">4ea7b915-429f-4fb2-aaca-9b50f3cc1afb</TermId>
        </TermInfo>
      </Terms>
    </b4078637a8a142d79ee567a0e1b1b1dc>
    <BoCAuthoredDate xmlns="d5953541-9517-43c8-9aab-99ea89c11ef5">2018-06-05T04:00:00+00:00</BoCAuthoredDate>
    <BoCYear xmlns="d5953541-9517-43c8-9aab-99ea89c11ef5" xsi:nil="true"/>
    <BoCSourcePrimaryID xmlns="d5953541-9517-43c8-9aab-99ea89c11ef5" xsi:nil="true"/>
    <BoCRecordCategory xmlns="d5953541-9517-43c8-9aab-99ea89c11ef5" xsi:nil="true"/>
    <BoCBoCArchives xmlns="d5953541-9517-43c8-9aab-99ea89c11ef5">No</BoCBoCArchiv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inancial Markets Document" ma:contentTypeID="0x0101001195684D2F137647AA5434A5CB73DF043A0000D595BAEBA49B44915A75C409AA0A57" ma:contentTypeVersion="32" ma:contentTypeDescription="Create a new document." ma:contentTypeScope="" ma:versionID="1ab5b79b0f98554a0be736a30e274cba">
  <xsd:schema xmlns:xsd="http://www.w3.org/2001/XMLSchema" xmlns:xs="http://www.w3.org/2001/XMLSchema" xmlns:p="http://schemas.microsoft.com/office/2006/metadata/properties" xmlns:ns1="http://schemas.microsoft.com/sharepoint/v3" xmlns:ns2="d5953541-9517-43c8-9aab-99ea89c11ef5" xmlns:ns3="1e052c79-f56d-4093-affc-0ebc4051d015" targetNamespace="http://schemas.microsoft.com/office/2006/metadata/properties" ma:root="true" ma:fieldsID="a548a5583c027c1fd2fd43ad114c5a6f" ns1:_="" ns2:_="" ns3:_="">
    <xsd:import namespace="http://schemas.microsoft.com/sharepoint/v3"/>
    <xsd:import namespace="d5953541-9517-43c8-9aab-99ea89c11ef5"/>
    <xsd:import namespace="1e052c79-f56d-4093-affc-0ebc4051d015"/>
    <xsd:element name="properties">
      <xsd:complexType>
        <xsd:sequence>
          <xsd:element name="documentManagement">
            <xsd:complexType>
              <xsd:all>
                <xsd:element ref="ns2:BoCAuthoredDate" minOccurs="0"/>
                <xsd:element ref="ns2:BoCMultiAuthor" minOccurs="0"/>
                <xsd:element ref="ns2:BoCAuthor" minOccurs="0"/>
                <xsd:element ref="ns2:BoCSourcePrimaryID" minOccurs="0"/>
                <xsd:element ref="ns2:BoCSourceSecondaryID" minOccurs="0"/>
                <xsd:element ref="ns2:BoCBoCArchives" minOccurs="0"/>
                <xsd:element ref="ns2:BoCRecordState" minOccurs="0"/>
                <xsd:element ref="ns2:BoCRecordCategory" minOccurs="0"/>
                <xsd:element ref="ns2:BoCRecordStatus" minOccurs="0"/>
                <xsd:element ref="ns2:BoCRecordDeclaredDate" minOccurs="0"/>
                <xsd:element ref="ns2:BoCRecordVital" minOccurs="0"/>
                <xsd:element ref="ns2:BoCRecordData" minOccurs="0"/>
                <xsd:element ref="ns2:BoCComments" minOccurs="0"/>
                <xsd:element ref="ns2:BoCOriginalDocumentIDValue" minOccurs="0"/>
                <xsd:element ref="ns2:BoCContentID" minOccurs="0"/>
                <xsd:element ref="ns2:_dlc_DocIdUrl" minOccurs="0"/>
                <xsd:element ref="ns2:_dlc_DocIdPersistId" minOccurs="0"/>
                <xsd:element ref="ns2:b4078637a8a142d79ee567a0e1b1b1dc" minOccurs="0"/>
                <xsd:element ref="ns2:TaxCatchAll" minOccurs="0"/>
                <xsd:element ref="ns2:TaxCatchAllLabel" minOccurs="0"/>
                <xsd:element ref="ns2:o0ecdfd9bd014bd491b131fdc98e1882" minOccurs="0"/>
                <xsd:element ref="ns2:TaxKeywordTaxHTField" minOccurs="0"/>
                <xsd:element ref="ns2:_dlc_DocId" minOccurs="0"/>
                <xsd:element ref="ns2:jb748235b3584e39a49414778f37ede4" minOccurs="0"/>
                <xsd:element ref="ns2:BoCYear" minOccurs="0"/>
                <xsd:element ref="ns2:hd483ece21554274b18384e0ca644c7e" minOccurs="0"/>
                <xsd:element ref="ns3:SharedWithUsers" minOccurs="0"/>
                <xsd:element ref="ns3:SharedWithDetails" minOccurs="0"/>
                <xsd:element ref="ns1:Email_x0020_Has_x0020_Attach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_x0020_Has_x0020_Attachment" ma:index="41" nillable="true" ma:displayName="Email Has Attachment" ma:internalName="Email_x0020_Has_x0020_Attachment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3541-9517-43c8-9aab-99ea89c11ef5" elementFormDefault="qualified">
    <xsd:import namespace="http://schemas.microsoft.com/office/2006/documentManagement/types"/>
    <xsd:import namespace="http://schemas.microsoft.com/office/infopath/2007/PartnerControls"/>
    <xsd:element name="BoCAuthoredDate" ma:index="2" nillable="true" ma:displayName="Authored Date" ma:description="" ma:format="DateTime" ma:internalName="BoCAuthoredDate" ma:readOnly="false">
      <xsd:simpleType>
        <xsd:restriction base="dms:DateTime"/>
      </xsd:simpleType>
    </xsd:element>
    <xsd:element name="BoCMultiAuthor" ma:index="3" nillable="true" ma:displayName="Document Author" ma:list="UserInfo" ma:SearchPeopleOnly="false" ma:SharePointGroup="0" ma:internalName="BoCMultiAutho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CAuthor" ma:index="4" nillable="true" ma:displayName="Author" ma:description="" ma:internalName="BoCAuthor" ma:readOnly="false">
      <xsd:simpleType>
        <xsd:restriction base="dms:Text">
          <xsd:maxLength value="255"/>
        </xsd:restriction>
      </xsd:simpleType>
    </xsd:element>
    <xsd:element name="BoCSourcePrimaryID" ma:index="6" nillable="true" ma:displayName="Source Primary ID" ma:description="" ma:internalName="BoCSourcePrimaryID" ma:readOnly="false">
      <xsd:simpleType>
        <xsd:restriction base="dms:Text">
          <xsd:maxLength value="255"/>
        </xsd:restriction>
      </xsd:simpleType>
    </xsd:element>
    <xsd:element name="BoCSourceSecondaryID" ma:index="7" nillable="true" ma:displayName="Source Secondary ID" ma:description="" ma:internalName="BoCSourceSecondaryID" ma:readOnly="false">
      <xsd:simpleType>
        <xsd:restriction base="dms:Text">
          <xsd:maxLength value="255"/>
        </xsd:restriction>
      </xsd:simpleType>
    </xsd:element>
    <xsd:element name="BoCBoCArchives" ma:index="9" nillable="true" ma:displayName="BoC Archives" ma:default="No" ma:description="" ma:format="Dropdown" ma:internalName="BoCBoCArchives" ma:readOnly="false">
      <xsd:simpleType>
        <xsd:restriction base="dms:Choice">
          <xsd:enumeration value="No"/>
          <xsd:enumeration value="Yes"/>
        </xsd:restriction>
      </xsd:simpleType>
    </xsd:element>
    <xsd:element name="BoCRecordState" ma:index="10" nillable="true" ma:displayName="Record State" ma:description="" ma:internalName="BoCRecordState" ma:readOnly="false">
      <xsd:simpleType>
        <xsd:restriction base="dms:Text">
          <xsd:maxLength value="255"/>
        </xsd:restriction>
      </xsd:simpleType>
    </xsd:element>
    <xsd:element name="BoCRecordCategory" ma:index="11" nillable="true" ma:displayName="Record Category" ma:description="" ma:internalName="BoCRecordCategory" ma:readOnly="false">
      <xsd:simpleType>
        <xsd:restriction base="dms:Text">
          <xsd:maxLength value="255"/>
        </xsd:restriction>
      </xsd:simpleType>
    </xsd:element>
    <xsd:element name="BoCRecordStatus" ma:index="12" nillable="true" ma:displayName="Record Status" ma:description="" ma:internalName="BoCRecordStatus" ma:readOnly="false">
      <xsd:simpleType>
        <xsd:restriction base="dms:Text">
          <xsd:maxLength value="255"/>
        </xsd:restriction>
      </xsd:simpleType>
    </xsd:element>
    <xsd:element name="BoCRecordDeclaredDate" ma:index="13" nillable="true" ma:displayName="Record Declared Date" ma:description="" ma:format="DateTime" ma:internalName="BoCRecordDeclaredDate" ma:readOnly="false">
      <xsd:simpleType>
        <xsd:restriction base="dms:DateTime"/>
      </xsd:simpleType>
    </xsd:element>
    <xsd:element name="BoCRecordVital" ma:index="14" nillable="true" ma:displayName="Record Vital" ma:default="false" ma:format="Dropdown" ma:internalName="BoCRecordVital" ma:readOnly="false">
      <xsd:simpleType>
        <xsd:restriction base="dms:Choice">
          <xsd:enumeration value="true"/>
          <xsd:enumeration value="false"/>
          <xsd:enumeration value="Yes"/>
          <xsd:enumeration value="No"/>
        </xsd:restriction>
      </xsd:simpleType>
    </xsd:element>
    <xsd:element name="BoCRecordData" ma:index="15" nillable="true" ma:displayName="Record Data" ma:description="" ma:internalName="BoCRecordData" ma:readOnly="false">
      <xsd:simpleType>
        <xsd:restriction base="dms:Note">
          <xsd:maxLength value="255"/>
        </xsd:restriction>
      </xsd:simpleType>
    </xsd:element>
    <xsd:element name="BoCComments" ma:index="16" nillable="true" ma:displayName="Comments" ma:description="" ma:internalName="BoCComments" ma:readOnly="false">
      <xsd:simpleType>
        <xsd:restriction base="dms:Note">
          <xsd:maxLength value="255"/>
        </xsd:restriction>
      </xsd:simpleType>
    </xsd:element>
    <xsd:element name="BoCOriginalDocumentIDValue" ma:index="17" nillable="true" ma:displayName="Original Document ID Value" ma:internalName="BoCOriginalDocumentIDValue" ma:readOnly="false">
      <xsd:simpleType>
        <xsd:restriction base="dms:Text">
          <xsd:maxLength value="255"/>
        </xsd:restriction>
      </xsd:simpleType>
    </xsd:element>
    <xsd:element name="BoCContentID" ma:index="18" nillable="true" ma:displayName="Content ID" ma:description="" ma:internalName="BoCContentID" ma:readOnly="false">
      <xsd:simpleType>
        <xsd:restriction base="dms:Text">
          <xsd:maxLength value="255"/>
        </xsd:restriction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4078637a8a142d79ee567a0e1b1b1dc" ma:index="24" ma:taxonomy="true" ma:internalName="b4078637a8a142d79ee567a0e1b1b1dc" ma:taxonomyFieldName="BoCDepartment" ma:displayName="Department" ma:default="" ma:fieldId="{b4078637-a8a1-42d7-9ee5-67a0e1b1b1dc}" ma:sspId="35a7de49-b683-4164-88f8-c84c8842f202" ma:termSetId="6da9c4ed-9f6e-4526-b55a-8e9f5a8c5d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5" nillable="true" ma:displayName="Taxonomy Catch All Column" ma:hidden="true" ma:list="{2341d44d-58d3-4fe2-a6f5-43b4a08911b0}" ma:internalName="TaxCatchAll" ma:showField="CatchAllData" ma:web="1e052c79-f56d-4093-affc-0ebc4051d0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6" nillable="true" ma:displayName="Taxonomy Catch All Column1" ma:hidden="true" ma:list="{2341d44d-58d3-4fe2-a6f5-43b4a08911b0}" ma:internalName="TaxCatchAllLabel" ma:readOnly="true" ma:showField="CatchAllDataLabel" ma:web="1e052c79-f56d-4093-affc-0ebc4051d0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0ecdfd9bd014bd491b131fdc98e1882" ma:index="30" nillable="true" ma:taxonomy="true" ma:internalName="o0ecdfd9bd014bd491b131fdc98e1882" ma:taxonomyFieldName="BoCRecordClassification" ma:displayName="Record Classification" ma:readOnly="false" ma:default="" ma:fieldId="{80ecdfd9-bd01-4bd4-91b1-31fdc98e1882}" ma:sspId="35a7de49-b683-4164-88f8-c84c8842f202" ma:termSetId="c9ddf070-7fea-4dd5-b2ae-fbe4261c5b2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1" nillable="true" ma:taxonomy="true" ma:internalName="TaxKeywordTaxHTField" ma:taxonomyFieldName="TaxKeyword" ma:displayName="Enterprise Keywords" ma:fieldId="{23f27201-bee3-471e-b2e7-b64fd8b7ca38}" ma:taxonomyMulti="true" ma:sspId="35a7de49-b683-4164-88f8-c84c8842f2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3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jb748235b3584e39a49414778f37ede4" ma:index="34" nillable="true" ma:taxonomy="true" ma:internalName="jb748235b3584e39a49414778f37ede4" ma:taxonomyFieldName="BoCDocumentCategory" ma:displayName="Document Category" ma:default="" ma:fieldId="{3b748235-b358-4e39-a494-14778f37ede4}" ma:sspId="35a7de49-b683-4164-88f8-c84c8842f202" ma:termSetId="43e2ee63-b723-4338-a3e3-eaf1176540c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oCYear" ma:index="36" nillable="true" ma:displayName="Year" ma:hidden="true" ma:internalName="BoCYear" ma:readOnly="false">
      <xsd:simpleType>
        <xsd:restriction base="dms:Text">
          <xsd:maxLength value="4"/>
        </xsd:restriction>
      </xsd:simpleType>
    </xsd:element>
    <xsd:element name="hd483ece21554274b18384e0ca644c7e" ma:index="37" nillable="true" ma:taxonomy="true" ma:internalName="hd483ece21554274b18384e0ca644c7e" ma:taxonomyFieldName="BoCDocumentType" ma:displayName="Document Type" ma:readOnly="false" ma:fieldId="{1d483ece-2155-4274-b183-84e0ca644c7e}" ma:sspId="35a7de49-b683-4164-88f8-c84c8842f202" ma:termSetId="e327ee1e-3a9d-4fb4-aef8-f102f7058a6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52c79-f56d-4093-affc-0ebc4051d015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D77366F-5480-49F5-B3D3-6A664660F44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FC74DE0-B9CF-43A1-8D9D-DAE21BF1E242}">
  <ds:schemaRefs>
    <ds:schemaRef ds:uri="http://schemas.microsoft.com/office/2006/metadata/properties"/>
    <ds:schemaRef ds:uri="http://schemas.microsoft.com/office/infopath/2007/PartnerControls"/>
    <ds:schemaRef ds:uri="d5953541-9517-43c8-9aab-99ea89c11ef5"/>
  </ds:schemaRefs>
</ds:datastoreItem>
</file>

<file path=customXml/itemProps3.xml><?xml version="1.0" encoding="utf-8"?>
<ds:datastoreItem xmlns:ds="http://schemas.openxmlformats.org/officeDocument/2006/customXml" ds:itemID="{F7A7E5A3-9483-4FF1-A496-9598EBEC2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5953541-9517-43c8-9aab-99ea89c11ef5"/>
    <ds:schemaRef ds:uri="1e052c79-f56d-4093-affc-0ebc4051d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5BD985-801C-4F95-97C9-D4195D724B8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D2DE52-0FCA-4B6F-9018-0D7BBEB82E5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FFA0A27-FF29-4E16-9FAB-281E9B9B401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FMDTemplate.dotx</Template>
  <TotalTime>2</TotalTime>
  <Pages>12</Pages>
  <Words>1730</Words>
  <Characters>9867</Characters>
  <Application>Microsoft Office Word</Application>
  <DocSecurity>0</DocSecurity>
  <Lines>82</Lines>
  <Paragraphs>23</Paragraphs>
  <ScaleCrop>false</ScaleCrop>
  <Company>Bank of Canada - Banque du Canada</Company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and verifying a new bond in Findur - final</dc:title>
  <dc:subject/>
  <dc:creator>Madeleine Knuth</dc:creator>
  <cp:keywords/>
  <dc:description>Approved by Alex Skupek, 26/07/2018</dc:description>
  <cp:lastModifiedBy>Jenny Liu</cp:lastModifiedBy>
  <cp:revision>2</cp:revision>
  <dcterms:created xsi:type="dcterms:W3CDTF">2023-01-16T15:20:00Z</dcterms:created>
  <dcterms:modified xsi:type="dcterms:W3CDTF">2023-01-16T15:20:00Z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0x0101001195684D2F137647AA5434A5CB73DF043A0000D595BAEBA49B44915A75C409AA0A57</vt:lpwstr>
  </property>
  <property fmtid="{D5CDD505-2E9C-101B-9397-08002B2CF9AE}" pid="3" name="_dlc_DocIdItemGuid">
    <vt:lpwstr>2c318e02-9c34-46b1-8a9e-be12baaf2bcd</vt:lpwstr>
  </property>
  <property fmtid="{D5CDD505-2E9C-101B-9397-08002B2CF9AE}" pid="4" name="BoCDept">
    <vt:lpwstr>5;#Financial Markets|6da9c4ed-9f6e-4526-b55a-8e9f5a8c5de9</vt:lpwstr>
  </property>
  <property fmtid="{D5CDD505-2E9C-101B-9397-08002B2CF9AE}" pid="5" name="ProjectName">
    <vt:lpwstr>1713;#FMD|5e8302e5-ddc3-4d11-bfc6-cfaf213c9fdf</vt:lpwstr>
  </property>
  <property fmtid="{D5CDD505-2E9C-101B-9397-08002B2CF9AE}" pid="6" name="TaxKeyword">
    <vt:lpwstr/>
  </property>
  <property fmtid="{D5CDD505-2E9C-101B-9397-08002B2CF9AE}" pid="7" name="CWRMItemRecordClassification">
    <vt:lpwstr/>
  </property>
  <property fmtid="{D5CDD505-2E9C-101B-9397-08002B2CF9AE}" pid="8" name="Email Thread">
    <vt:lpwstr/>
  </property>
  <property fmtid="{D5CDD505-2E9C-101B-9397-08002B2CF9AE}" pid="9" name="BoCDocumentType">
    <vt:lpwstr/>
  </property>
  <property fmtid="{D5CDD505-2E9C-101B-9397-08002B2CF9AE}" pid="10" name="BoCDepartment">
    <vt:lpwstr>7;#Financial Markets|4ea7b915-429f-4fb2-aaca-9b50f3cc1afb</vt:lpwstr>
  </property>
  <property fmtid="{D5CDD505-2E9C-101B-9397-08002B2CF9AE}" pid="11" name="BoCDocumentCategory">
    <vt:lpwstr/>
  </property>
  <property fmtid="{D5CDD505-2E9C-101B-9397-08002B2CF9AE}" pid="12" name="Email From">
    <vt:lpwstr/>
  </property>
  <property fmtid="{D5CDD505-2E9C-101B-9397-08002B2CF9AE}" pid="13" name="Email Importance">
    <vt:lpwstr/>
  </property>
  <property fmtid="{D5CDD505-2E9C-101B-9397-08002B2CF9AE}" pid="14" name="Email Subject">
    <vt:lpwstr/>
  </property>
  <property fmtid="{D5CDD505-2E9C-101B-9397-08002B2CF9AE}" pid="15" name="Email Thread ID">
    <vt:lpwstr/>
  </property>
  <property fmtid="{D5CDD505-2E9C-101B-9397-08002B2CF9AE}" pid="16" name="Email CC">
    <vt:lpwstr/>
  </property>
  <property fmtid="{D5CDD505-2E9C-101B-9397-08002B2CF9AE}" pid="17" name="BoCRecordClassification">
    <vt:lpwstr/>
  </property>
  <property fmtid="{D5CDD505-2E9C-101B-9397-08002B2CF9AE}" pid="18" name="Email To">
    <vt:lpwstr/>
  </property>
</Properties>
</file>