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484"/>
        <w:gridCol w:w="2872"/>
        <w:gridCol w:w="2562"/>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DAF</w:t>
            </w:r>
          </w:p>
        </w:tc>
        <w:tc>
          <w:tcPr/>
          <w:p>
            <w:pPr>
              <w:pStyle w:val="Compact"/>
              <w:jc w:val="left"/>
            </w:pPr>
            <w:r>
              <w:t xml:space="preserve">United States Department of the Air Force</w:t>
            </w:r>
          </w:p>
        </w:tc>
      </w:tr>
    </w:tbl>
    <w:bookmarkEnd w:id="21"/>
    <w:bookmarkStart w:id="22" w:name="introduction"/>
    <w:p>
      <w:pPr>
        <w:pStyle w:val="Heading1"/>
      </w:pPr>
      <w:r>
        <w:t xml:space="preserve">3. Introduction</w:t>
      </w:r>
    </w:p>
    <w:p>
      <w:pPr>
        <w:pStyle w:val="FirstParagraph"/>
      </w:pPr>
      <w:r>
        <w:t xml:space="preserve">Informs the reader of the purpose of the paper.</w:t>
      </w:r>
    </w:p>
    <w:bookmarkEnd w:id="22"/>
    <w:bookmarkStart w:id="24" w:name="main-body"/>
    <w:p>
      <w:pPr>
        <w:pStyle w:val="Heading1"/>
      </w:pPr>
      <w:r>
        <w:t xml:space="preserve">4. Main Body</w:t>
      </w:r>
    </w:p>
    <w:p>
      <w:pPr>
        <w:pStyle w:val="FirstParagraph"/>
      </w:pPr>
      <w:r>
        <w:t xml:space="preserve">Where all the general information and data resides. Would expect there to be several Principal Headings under this category.</w:t>
      </w:r>
    </w:p>
    <w:bookmarkStart w:id="23" w:name="heres-a-second-level-heading"/>
    <w:p>
      <w:pPr>
        <w:pStyle w:val="Heading2"/>
      </w:pPr>
      <w:r>
        <w:t xml:space="preserve">4.1 Here’s a second-level heading</w:t>
      </w:r>
    </w:p>
    <w:bookmarkEnd w:id="23"/>
    <w:bookmarkEnd w:id="24"/>
    <w:bookmarkStart w:id="25" w:name="lessons-learned"/>
    <w:p>
      <w:pPr>
        <w:pStyle w:val="Heading1"/>
      </w:pPr>
      <w:r>
        <w:t xml:space="preserve">5. Lessons Learned</w:t>
      </w:r>
    </w:p>
    <w:p>
      <w:pPr>
        <w:pStyle w:val="FirstParagraph"/>
      </w:pPr>
      <w:r>
        <w:t xml:space="preserve">Knowledge learned along the way and of value to the next brave soul to work in this area.</w:t>
      </w:r>
    </w:p>
    <w:bookmarkEnd w:id="25"/>
    <w:bookmarkStart w:id="26" w:name="conclusions"/>
    <w:p>
      <w:pPr>
        <w:pStyle w:val="Heading1"/>
      </w:pPr>
      <w:r>
        <w:t xml:space="preserve">6. Conclusions</w:t>
      </w:r>
    </w:p>
    <w:p>
      <w:pPr>
        <w:pStyle w:val="FirstParagraph"/>
      </w:pPr>
      <w:r>
        <w:t xml:space="preserve">Points to be drawn from the material and data provided.</w:t>
      </w:r>
    </w:p>
    <w:bookmarkEnd w:id="26"/>
    <w:bookmarkStart w:id="27" w:name="acknowledgement"/>
    <w:p>
      <w:pPr>
        <w:pStyle w:val="Heading1"/>
      </w:pPr>
      <w:r>
        <w:t xml:space="preserve">7. Acknowledgement</w:t>
      </w:r>
    </w:p>
    <w:p>
      <w:pPr>
        <w:pStyle w:val="FirstParagraph"/>
      </w:pPr>
      <w:r>
        <w:t xml:space="preserve">To extend thanks in support of the paper.</w:t>
      </w:r>
    </w:p>
    <w:bookmarkEnd w:id="27"/>
    <w:bookmarkStart w:id="28" w:name="references"/>
    <w:p>
      <w:pPr>
        <w:pStyle w:val="Heading1"/>
      </w:pPr>
      <w:r>
        <w:t xml:space="preserve">8. References</w:t>
      </w:r>
    </w:p>
    <w:p>
      <w:pPr>
        <w:pStyle w:val="FirstParagraph"/>
      </w:pPr>
      <w:r>
        <w:t xml:space="preserve">These should follow the standard format for referencing supporting material.</w:t>
      </w:r>
    </w:p>
    <w:bookmarkEnd w:id="28"/>
    <w:bookmarkStart w:id="29" w:name="biographyphotograph"/>
    <w:p>
      <w:pPr>
        <w:pStyle w:val="Heading1"/>
      </w:pPr>
      <w:r>
        <w:t xml:space="preserve">9. Biography/Photograph</w:t>
      </w:r>
    </w:p>
    <w:p>
      <w:pPr>
        <w:pStyle w:val="FirstParagraph"/>
      </w:pPr>
      <w:r>
        <w:t xml:space="preserve">A brief paragraph(s) of the author(s). A photograph is highly recommended, but of course optional.</w:t>
      </w:r>
    </w:p>
    <w:bookmarkEnd w:id="29"/>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082B3E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68E1FC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6013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00C658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F10FB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F82628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34A4D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862920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DEC106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3C3E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AC2E7C"/>
    <w:pPr>
      <w:spacing w:after="120"/>
      <w:jc w:val="center"/>
    </w:pPr>
    <w:rPr>
      <w:b/>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C2E7C"/>
    <w:rPr>
      <w:rFonts w:ascii="Arial" w:hAnsi="Arial"/>
      <w:b/>
      <w:sz w:val="20"/>
    </w:rPr>
  </w:style>
  <w:style w:customStyle="1" w:styleId="VerbatimChar" w:type="character">
    <w:name w:val="Verbatim Char"/>
    <w:basedOn w:val="CaptionChar"/>
    <w:rPr>
      <w:rFonts w:ascii="Consolas" w:hAnsi="Consolas"/>
      <w:b/>
      <w:sz w:val="22"/>
    </w:rPr>
  </w:style>
  <w:style w:customStyle="1" w:styleId="SectionNumber" w:type="character">
    <w:name w:val="Section Number"/>
    <w:basedOn w:val="CaptionChar"/>
    <w:rPr>
      <w:rFonts w:ascii="Arial" w:hAnsi="Arial"/>
      <w:b/>
      <w:sz w:val="20"/>
    </w:rPr>
  </w:style>
  <w:style w:styleId="FootnoteReference" w:type="character">
    <w:name w:val="footnote reference"/>
    <w:basedOn w:val="CaptionChar"/>
    <w:rPr>
      <w:rFonts w:ascii="Arial" w:hAnsi="Arial"/>
      <w:b/>
      <w:sz w:val="20"/>
      <w:vertAlign w:val="superscript"/>
    </w:rPr>
  </w:style>
  <w:style w:styleId="Hyperlink" w:type="character">
    <w:name w:val="Hyperlink"/>
    <w:basedOn w:val="CaptionChar"/>
    <w:rPr>
      <w:rFonts w:ascii="Arial" w:hAnsi="Arial"/>
      <w:b/>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2022-08-26T12:13:09Z</dcterms:created>
  <dcterms:modified xsi:type="dcterms:W3CDTF">2022-08-26T12:13:09Z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2</vt:lpwstr>
  </property>
  <property fmtid="{D5CDD505-2E9C-101B-9397-08002B2CF9AE}" pid="12" name="toc-title">
    <vt:lpwstr>Table of contents</vt:lpwstr>
  </property>
</Properties>
</file>