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30.png" ContentType="image/png"/>
  <Override PartName="/word/media/rId50.png" ContentType="image/png"/>
  <Override PartName="/word/media/rId24.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PA</w:t>
            </w:r>
          </w:p>
        </w:tc>
        <w:tc>
          <w:tcPr/>
          <w:p>
            <w:pPr>
              <w:pStyle w:val="Compact"/>
              <w:jc w:val="left"/>
            </w:pPr>
            <w:r>
              <w:t xml:space="preserve">Public Affairs</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w:t>
            </w:r>
          </w:p>
        </w:tc>
        <w:tc>
          <w:tcPr/>
          <w:p>
            <w:pPr>
              <w:pStyle w:val="Compact"/>
              <w:jc w:val="left"/>
            </w:pPr>
            <w:r>
              <w:t xml:space="preserve">United States</w:t>
            </w:r>
          </w:p>
        </w:tc>
      </w:tr>
      <w:tr>
        <w:tc>
          <w:tcPr/>
          <w:p>
            <w:pPr>
              <w:pStyle w:val="Compact"/>
              <w:jc w:val="left"/>
            </w:pPr>
            <w:r>
              <w:t xml:space="preserve">USAF</w:t>
            </w:r>
          </w:p>
        </w:tc>
        <w:tc>
          <w:tcPr/>
          <w:p>
            <w:pPr>
              <w:pStyle w:val="Compact"/>
              <w:jc w:val="left"/>
            </w:pPr>
            <w:r>
              <w:t xml:space="preserve">United States Air Force</w:t>
            </w:r>
          </w:p>
        </w:tc>
      </w:tr>
      <w:tr>
        <w:tc>
          <w:tcPr/>
          <w:p>
            <w:pPr>
              <w:pStyle w:val="Compact"/>
              <w:jc w:val="left"/>
            </w:pPr>
            <w:r>
              <w:t xml:space="preserve">VPN</w:t>
            </w:r>
          </w:p>
        </w:tc>
        <w:tc>
          <w:tcPr/>
          <w:p>
            <w:pPr>
              <w:pStyle w:val="Compact"/>
              <w:jc w:val="left"/>
            </w:pPr>
            <w:r>
              <w:t xml:space="preserve">Virtual Private Networks</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w:t>
      </w:r>
      <w:r>
        <w:t xml:space="preserve"> </w:t>
      </w:r>
      <w:r>
        <w:t xml:space="preserve">(</w:t>
      </w:r>
      <w:r>
        <w:t xml:space="preserve">“Hackathon:Etymology”</w:t>
      </w:r>
      <w:r>
        <w:t xml:space="preserve"> </w:t>
      </w:r>
      <w:r>
        <w:t xml:space="preserve">2022)</w:t>
      </w:r>
      <w:r>
        <w:t xml:space="preserve">.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The objectives of the AFTC Data Hackathon, in particular are:</w:t>
      </w:r>
    </w:p>
    <w:p>
      <w:pPr>
        <w:numPr>
          <w:ilvl w:val="0"/>
          <w:numId w:val="1001"/>
        </w:numPr>
        <w:pStyle w:val="Compact"/>
      </w:pPr>
      <w:r>
        <w:t xml:space="preserve">Solve real AFTC problems</w:t>
      </w:r>
    </w:p>
    <w:p>
      <w:pPr>
        <w:numPr>
          <w:ilvl w:val="0"/>
          <w:numId w:val="1001"/>
        </w:numPr>
        <w:pStyle w:val="Compact"/>
      </w:pPr>
      <w:r>
        <w:t xml:space="preserve">Discover and develop AFTC organic talent</w:t>
      </w:r>
    </w:p>
    <w:p>
      <w:pPr>
        <w:numPr>
          <w:ilvl w:val="0"/>
          <w:numId w:val="1001"/>
        </w:numPr>
        <w:pStyle w:val="Compact"/>
      </w:pPr>
      <w:r>
        <w:t xml:space="preserve">Drive progress in availability and AFTC use of contemporary data technologies</w:t>
      </w:r>
    </w:p>
    <w:p>
      <w:pPr>
        <w:pStyle w:val="FirstParagraph"/>
      </w:pPr>
      <w:r>
        <w:t xml:space="preserve">Your organization may have different specific objectives, and the objectives may vary from event to event.</w:t>
      </w:r>
    </w:p>
    <w:p>
      <w:pPr>
        <w:pStyle w:val="BodyText"/>
      </w:pPr>
      <w:r>
        <w:t xml:space="preserve">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40" w:name="benefits"/>
    <w:p>
      <w:pPr>
        <w:pStyle w:val="Heading1"/>
      </w:pPr>
      <w:r>
        <w:t xml:space="preserve">5. Benefits</w:t>
      </w:r>
    </w:p>
    <w:p>
      <w:pPr>
        <w:pStyle w:val="FirstParagraph"/>
      </w:pPr>
      <w:r>
        <w:t xml:space="preserve">A Data Hackathon allows your organization to:</w:t>
      </w:r>
    </w:p>
    <w:p>
      <w:pPr>
        <w:numPr>
          <w:ilvl w:val="0"/>
          <w:numId w:val="1002"/>
        </w:numPr>
        <w:pStyle w:val="Compact"/>
      </w:pPr>
      <w:r>
        <w:rPr>
          <w:bCs/>
          <w:b/>
        </w:rPr>
        <w:t xml:space="preserve">explore</w:t>
      </w:r>
      <w:r>
        <w:t xml:space="preserve"> </w:t>
      </w:r>
      <w:r>
        <w:t xml:space="preserve">data infrastructure options,</w:t>
      </w:r>
    </w:p>
    <w:p>
      <w:pPr>
        <w:numPr>
          <w:ilvl w:val="0"/>
          <w:numId w:val="1002"/>
        </w:numPr>
        <w:pStyle w:val="Compact"/>
      </w:pPr>
      <w:r>
        <w:rPr>
          <w:bCs/>
          <w:b/>
        </w:rP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2"/>
        </w:numPr>
        <w:pStyle w:val="Compact"/>
      </w:pPr>
      <w:r>
        <w:rPr>
          <w:bCs/>
          <w:b/>
        </w:rPr>
        <w:t xml:space="preserve">evolve</w:t>
      </w:r>
      <w:r>
        <w:t xml:space="preserve"> </w:t>
      </w:r>
      <w:r>
        <w:t xml:space="preserve">third-party and in-house scripts and apps to solve real-world problems, and</w:t>
      </w:r>
    </w:p>
    <w:p>
      <w:pPr>
        <w:numPr>
          <w:ilvl w:val="0"/>
          <w:numId w:val="1002"/>
        </w:numPr>
        <w:pStyle w:val="Compact"/>
      </w:pPr>
      <w:r>
        <w:rPr>
          <w:bCs/>
          <w:b/>
        </w:rPr>
        <w:t xml:space="preserve">expand</w:t>
      </w:r>
      <w:r>
        <w:t xml:space="preserve"> </w:t>
      </w:r>
      <w:r>
        <w:t xml:space="preserve">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3"/>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3"/>
        </w:numPr>
        <w:pStyle w:val="Compact"/>
      </w:pPr>
      <w:r>
        <w:t xml:space="preserve">Compute</w:t>
      </w:r>
    </w:p>
    <w:p>
      <w:pPr>
        <w:numPr>
          <w:ilvl w:val="0"/>
          <w:numId w:val="1003"/>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sec-AFTCinfra"/>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4"/>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5"/>
        </w:numPr>
        <w:pStyle w:val="Compact"/>
      </w:pPr>
      <w:r>
        <w:t xml:space="preserve">Amazon Web Services (AWS) Elastic Compute Cloud (EC2) compute and Simple Storage Service (S3) store in the cloud</w:t>
      </w:r>
    </w:p>
    <w:p>
      <w:pPr>
        <w:numPr>
          <w:ilvl w:val="1"/>
          <w:numId w:val="1005"/>
        </w:numPr>
        <w:pStyle w:val="Compact"/>
      </w:pPr>
      <w:r>
        <w:t xml:space="preserve">Databricks notebooks running Python and R orchestrated with Apache Spark</w:t>
      </w:r>
    </w:p>
    <w:p>
      <w:pPr>
        <w:numPr>
          <w:ilvl w:val="1"/>
          <w:numId w:val="1005"/>
        </w:numPr>
        <w:pStyle w:val="Compact"/>
      </w:pPr>
      <w:r>
        <w:t xml:space="preserve">Hue SQL assistant</w:t>
      </w:r>
    </w:p>
    <w:p>
      <w:pPr>
        <w:numPr>
          <w:ilvl w:val="1"/>
          <w:numId w:val="1005"/>
        </w:numPr>
        <w:pStyle w:val="Compact"/>
      </w:pPr>
      <w:r>
        <w:t xml:space="preserve">Apache Zeppelin notebooks running Python orchestrated with Apache Spark</w:t>
      </w:r>
    </w:p>
    <w:p>
      <w:pPr>
        <w:numPr>
          <w:ilvl w:val="1"/>
          <w:numId w:val="1005"/>
        </w:numPr>
        <w:pStyle w:val="Compact"/>
      </w:pPr>
      <w:r>
        <w:t xml:space="preserve">Plotly Dash dashboard front ends with Python visualizations</w:t>
      </w:r>
    </w:p>
    <w:p>
      <w:pPr>
        <w:numPr>
          <w:ilvl w:val="0"/>
          <w:numId w:val="1004"/>
        </w:numPr>
        <w:pStyle w:val="Compact"/>
      </w:pPr>
      <w:r>
        <w:t xml:space="preserve">Microsoft 365 including:</w:t>
      </w:r>
    </w:p>
    <w:p>
      <w:pPr>
        <w:numPr>
          <w:ilvl w:val="1"/>
          <w:numId w:val="1006"/>
        </w:numPr>
        <w:pStyle w:val="Compact"/>
      </w:pPr>
      <w:r>
        <w:t xml:space="preserve">Microsoft Azure compute and store in the cloud</w:t>
      </w:r>
    </w:p>
    <w:p>
      <w:pPr>
        <w:numPr>
          <w:ilvl w:val="1"/>
          <w:numId w:val="1006"/>
        </w:numPr>
        <w:pStyle w:val="Compact"/>
      </w:pPr>
      <w:r>
        <w:t xml:space="preserve">Excel</w:t>
      </w:r>
    </w:p>
    <w:p>
      <w:pPr>
        <w:numPr>
          <w:ilvl w:val="1"/>
          <w:numId w:val="1006"/>
        </w:numPr>
        <w:pStyle w:val="Compact"/>
      </w:pPr>
      <w:r>
        <w:t xml:space="preserve">Teams</w:t>
      </w:r>
    </w:p>
    <w:p>
      <w:pPr>
        <w:numPr>
          <w:ilvl w:val="1"/>
          <w:numId w:val="1006"/>
        </w:numPr>
        <w:pStyle w:val="Compact"/>
      </w:pPr>
      <w:r>
        <w:t xml:space="preserve">SharePoint</w:t>
      </w:r>
    </w:p>
    <w:p>
      <w:pPr>
        <w:numPr>
          <w:ilvl w:val="1"/>
          <w:numId w:val="1006"/>
        </w:numPr>
        <w:pStyle w:val="Compact"/>
      </w:pPr>
      <w:r>
        <w:t xml:space="preserve">Power Automate</w:t>
      </w:r>
    </w:p>
    <w:p>
      <w:pPr>
        <w:numPr>
          <w:ilvl w:val="1"/>
          <w:numId w:val="1006"/>
        </w:numPr>
        <w:pStyle w:val="Compact"/>
      </w:pPr>
      <w:r>
        <w:t xml:space="preserve">Power Apps</w:t>
      </w:r>
    </w:p>
    <w:p>
      <w:pPr>
        <w:numPr>
          <w:ilvl w:val="1"/>
          <w:numId w:val="1006"/>
        </w:numPr>
        <w:pStyle w:val="Compact"/>
      </w:pPr>
      <w:r>
        <w:t xml:space="preserve">Power BI</w:t>
      </w:r>
    </w:p>
    <w:p>
      <w:pPr>
        <w:numPr>
          <w:ilvl w:val="0"/>
          <w:numId w:val="1004"/>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7"/>
        </w:numPr>
        <w:pStyle w:val="Compact"/>
      </w:pPr>
      <w:r>
        <w:t xml:space="preserve">AWS EC2 and S3</w:t>
      </w:r>
    </w:p>
    <w:p>
      <w:pPr>
        <w:numPr>
          <w:ilvl w:val="1"/>
          <w:numId w:val="1007"/>
        </w:numPr>
        <w:pStyle w:val="Compact"/>
      </w:pPr>
      <w:r>
        <w:t xml:space="preserve">Palantir Foundry</w:t>
      </w:r>
    </w:p>
    <w:p>
      <w:pPr>
        <w:numPr>
          <w:ilvl w:val="1"/>
          <w:numId w:val="1007"/>
        </w:numPr>
        <w:pStyle w:val="Compact"/>
      </w:pPr>
      <w:r>
        <w:t xml:space="preserve">Python and R scripting</w:t>
      </w:r>
    </w:p>
    <w:p>
      <w:pPr>
        <w:numPr>
          <w:ilvl w:val="1"/>
          <w:numId w:val="1007"/>
        </w:numPr>
        <w:pStyle w:val="Compact"/>
      </w:pPr>
      <w:r>
        <w:t xml:space="preserve">Data Application Programming Interfaces (APIs)</w:t>
      </w:r>
    </w:p>
    <w:p>
      <w:pPr>
        <w:pStyle w:val="FirstParagraph"/>
      </w:pPr>
      <w:r>
        <w:t xml:space="preserve">To the maximum extent, the hacker teams used government-furnished equipment (GFE), including computers, network connections, and virtual private networks (VPNs),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8"/>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8"/>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8"/>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9"/>
        </w:numPr>
        <w:pStyle w:val="Compact"/>
      </w:pPr>
      <w:r>
        <w:t xml:space="preserve">identify and highlight duplication</w:t>
      </w:r>
    </w:p>
    <w:p>
      <w:pPr>
        <w:numPr>
          <w:ilvl w:val="0"/>
          <w:numId w:val="1009"/>
        </w:numPr>
        <w:pStyle w:val="Compact"/>
      </w:pPr>
      <w:r>
        <w:t xml:space="preserve">bring in diversity of experience, skill, and even culture</w:t>
      </w:r>
    </w:p>
    <w:p>
      <w:pPr>
        <w:numPr>
          <w:ilvl w:val="0"/>
          <w:numId w:val="1009"/>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10"/>
        </w:numPr>
        <w:pStyle w:val="Compact"/>
      </w:pPr>
      <w:r>
        <w:t xml:space="preserve">are already highly skilled, but have not been tasked with data-centric activities in the course of their primary duties</w:t>
      </w:r>
    </w:p>
    <w:p>
      <w:pPr>
        <w:numPr>
          <w:ilvl w:val="0"/>
          <w:numId w:val="1010"/>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10"/>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1"/>
        </w:numPr>
        <w:pStyle w:val="Compact"/>
      </w:pPr>
      <w:r>
        <w:t xml:space="preserve">Military - active-duty, Reserve, or Guard military members</w:t>
      </w:r>
    </w:p>
    <w:p>
      <w:pPr>
        <w:numPr>
          <w:ilvl w:val="0"/>
          <w:numId w:val="1011"/>
        </w:numPr>
        <w:pStyle w:val="Compact"/>
      </w:pPr>
      <w:r>
        <w:t xml:space="preserve">Civilian - United States Department of Defense (US DoD) civil service employees</w:t>
      </w:r>
    </w:p>
    <w:p>
      <w:pPr>
        <w:numPr>
          <w:ilvl w:val="0"/>
          <w:numId w:val="1011"/>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(OEM)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7"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2"/>
        </w:numPr>
        <w:pStyle w:val="Compact"/>
      </w:pPr>
      <w:r>
        <w:t xml:space="preserve">building on an existing foundation of code and tooling</w:t>
      </w:r>
    </w:p>
    <w:p>
      <w:pPr>
        <w:numPr>
          <w:ilvl w:val="0"/>
          <w:numId w:val="1012"/>
        </w:numPr>
        <w:pStyle w:val="Compact"/>
      </w:pPr>
      <w:r>
        <w:t xml:space="preserve">encouraging reuse or remixing of existing capabilities</w:t>
      </w:r>
      <w:r>
        <w:t xml:space="preserve"> </w:t>
      </w:r>
      <w:r>
        <w:t xml:space="preserve">(Creative Commons n.d.)</w:t>
      </w:r>
    </w:p>
    <w:p>
      <w:pPr>
        <w:numPr>
          <w:ilvl w:val="0"/>
          <w:numId w:val="1012"/>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3"/>
        </w:numPr>
        <w:pStyle w:val="Compact"/>
      </w:pPr>
      <w:r>
        <w:t xml:space="preserve">A built-in value proposition - the problem owner has an existing pain point, little additional justification is required</w:t>
      </w:r>
    </w:p>
    <w:p>
      <w:pPr>
        <w:numPr>
          <w:ilvl w:val="0"/>
          <w:numId w:val="1013"/>
        </w:numPr>
        <w:pStyle w:val="Compact"/>
      </w:pPr>
      <w:r>
        <w:t xml:space="preserve">An existing dataset -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r>
        <w:t xml:space="preserve"> </w:t>
      </w:r>
      <w:r>
        <w:t xml:space="preserve">or deriving</w:t>
      </w:r>
      <w:r>
        <w:t xml:space="preserve"> </w:t>
      </w:r>
      <w:r>
        <w:t xml:space="preserve">“</w:t>
      </w:r>
      <w:r>
        <w:t xml:space="preserve">notional</w:t>
      </w:r>
      <w:r>
        <w:t xml:space="preserve">”</w:t>
      </w:r>
      <w:r>
        <w:t xml:space="preserve"> </w:t>
      </w:r>
      <w:r>
        <w:t xml:space="preserve">or</w:t>
      </w:r>
      <w:r>
        <w:t xml:space="preserve"> </w:t>
      </w:r>
      <w:r>
        <w:t xml:space="preserve">“</w:t>
      </w:r>
      <w:r>
        <w:t xml:space="preserve">toy</w:t>
      </w:r>
      <w:r>
        <w:t xml:space="preserve">”</w:t>
      </w:r>
      <w:r>
        <w:t xml:space="preserve"> </w:t>
      </w:r>
      <w:r>
        <w:t xml:space="preserve">problems that may not generalize well</w:t>
      </w:r>
    </w:p>
    <w:p>
      <w:pPr>
        <w:numPr>
          <w:ilvl w:val="0"/>
          <w:numId w:val="1013"/>
        </w:numPr>
        <w:pStyle w:val="Compact"/>
      </w:pPr>
      <w:r>
        <w:t xml:space="preserve">Available domain knowledge - the problem owner has subject matter expertise to guide and clarify which approaches are best suited to the domain</w:t>
      </w:r>
    </w:p>
    <w:bookmarkStart w:id="36" w:name="X686fb9ae57c71eeb9cb1ae0065bca08613f3cc5"/>
    <w:p>
      <w:pPr>
        <w:pStyle w:val="Heading3"/>
      </w:pPr>
      <w:r>
        <w:t xml:space="preserve">AFTC Data Hackathon evolution of scripts and apps to solve real-world problems</w:t>
      </w:r>
    </w:p>
    <w:p>
      <w:pPr>
        <w:pStyle w:val="FirstParagraph"/>
      </w:pPr>
      <w:r>
        <w:t xml:space="preserve">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pPr>
        <w:pStyle w:val="BodyText"/>
      </w:pPr>
      <w:r>
        <w:t xml:space="preserve">To drive progress of contemporary data technologies, the organizers make the hacker teams aware of the available infrastructure mentioned above in</w:t>
      </w:r>
      <w:r>
        <w:t xml:space="preserve"> </w:t>
      </w:r>
      <w:hyperlink w:anchor="sec-AFTCinfra">
        <w:r>
          <w:rPr>
            <w:rStyle w:val="Hyperlink"/>
          </w:rPr>
          <w:t xml:space="preserve">Section 5.1.1</w:t>
        </w:r>
      </w:hyperlink>
      <w:r>
        <w:t xml:space="preserve">. Teams are highly encouraged to make use available frameworks, packages, and environments, working on GFE equipment and networks.</w:t>
      </w:r>
    </w:p>
    <w:p>
      <w:pPr>
        <w:pStyle w:val="BodyText"/>
      </w:pPr>
      <w:r>
        <w:t xml:space="preserve">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bookmarkEnd w:id="36"/>
    <w:bookmarkEnd w:id="37"/>
    <w:bookmarkStart w:id="39" w:name="expand"/>
    <w:p>
      <w:pPr>
        <w:pStyle w:val="Heading2"/>
      </w:pPr>
      <w:r>
        <w:t xml:space="preserve">5.4 Expand</w:t>
      </w:r>
    </w:p>
    <w:p>
      <w:pPr>
        <w:pStyle w:val="FirstParagraph"/>
      </w:pPr>
      <w:r>
        <w:rPr>
          <w:bCs/>
          <w:b/>
        </w:rPr>
        <w:t xml:space="preserve">Expand awareness of the state of the art digital technologies within your organization.</w:t>
      </w:r>
      <w:r>
        <w:t xml:space="preserve"> </w:t>
      </w:r>
      <w:r>
        <w:t xml:space="preserve">No change is possible without action, but action without knowledge, understanding, and wisdom is futile. A popular US Air Force (USAF) pejorative is</w:t>
      </w:r>
      <w:r>
        <w:t xml:space="preserve"> </w:t>
      </w:r>
      <w:r>
        <w:t xml:space="preserve">“</w:t>
      </w:r>
      <w:r>
        <w:rPr>
          <w:iCs/>
          <w:i/>
        </w:rPr>
        <w:t xml:space="preserve">all thrust, no vector</w:t>
      </w:r>
      <w:r>
        <w:t xml:space="preserve">,</w:t>
      </w:r>
      <w:r>
        <w:t xml:space="preserve">”</w:t>
      </w:r>
      <w:r>
        <w:t xml:space="preserve"> </w:t>
      </w:r>
      <w:r>
        <w:t xml:space="preserve">typically directed at junior personnel who are highly energetic, but not necessarily focused on a particular objective. Awareness is the beginning of knowledge, understanding, and wisdom. To jumpstart your organization’s digital transformation, its personnel must know what options are at their disposal to solve their own problems.</w:t>
      </w:r>
    </w:p>
    <w:p>
      <w:pPr>
        <w:pStyle w:val="BodyText"/>
      </w:pPr>
      <w:r>
        <w:t xml:space="preserve">A Data Hackathon can provide a venue for showcasing data options. Thus far, this paper has focused on the organizers, problem owners, and hacker teams. If these are the only personnel aware of the state of the art digital technologies within your organization, change will be limited. To increase the breadth of awareness, several other populations can be directly involved in the event or can be otherwise engaged.</w:t>
      </w:r>
    </w:p>
    <w:p>
      <w:pPr>
        <w:pStyle w:val="BodyText"/>
      </w:pPr>
      <w:r>
        <w:t xml:space="preserve">Most directly, hacker team members need their supervisors’ approval for participation. Hackathons are by definition significant and concentrated investments of time and attention, requiring prioritization above other tasks. In the approval process, the supervisors should be provided with an explanation of the objectives and methods for the event, including the technologies used.</w:t>
      </w:r>
    </w:p>
    <w:p>
      <w:pPr>
        <w:pStyle w:val="BodyText"/>
      </w:pPr>
      <w:r>
        <w:t xml:space="preserve">Direct involvement can also come in the form of a senior leader judge’s panel. Judges are introduced to the problem sets, which brings the problems’ existence to their attention. It should never be taken for granted that senior leaders are aware of such problems. Judges are also briefed on the teams’ solutions, including the technologies used and remaining technology or policy gaps.</w:t>
      </w:r>
    </w:p>
    <w:p>
      <w:pPr>
        <w:pStyle w:val="BodyText"/>
      </w:pPr>
      <w:r>
        <w:t xml:space="preserve">Other engagement can include broad advertisement of and invitations to:</w:t>
      </w:r>
    </w:p>
    <w:p>
      <w:pPr>
        <w:numPr>
          <w:ilvl w:val="0"/>
          <w:numId w:val="1014"/>
        </w:numPr>
        <w:pStyle w:val="Compact"/>
      </w:pPr>
      <w:r>
        <w:t xml:space="preserve">event existence and registration</w:t>
      </w:r>
    </w:p>
    <w:p>
      <w:pPr>
        <w:numPr>
          <w:ilvl w:val="0"/>
          <w:numId w:val="1014"/>
        </w:numPr>
        <w:pStyle w:val="Compact"/>
      </w:pPr>
      <w:r>
        <w:t xml:space="preserve">solution presentations</w:t>
      </w:r>
    </w:p>
    <w:p>
      <w:pPr>
        <w:numPr>
          <w:ilvl w:val="0"/>
          <w:numId w:val="1014"/>
        </w:numPr>
        <w:pStyle w:val="Compact"/>
      </w:pPr>
      <w:r>
        <w:t xml:space="preserve">judging results and prizes</w:t>
      </w:r>
    </w:p>
    <w:p>
      <w:pPr>
        <w:pStyle w:val="FirstParagraph"/>
      </w:pPr>
      <w:r>
        <w:t xml:space="preserve">Such notices should include direct references to technologies available, thus expanding awareness to peers and other leadership.</w:t>
      </w:r>
    </w:p>
    <w:bookmarkStart w:id="38" w:name="aftc-expansion-of-awareness"/>
    <w:p>
      <w:pPr>
        <w:pStyle w:val="Heading3"/>
      </w:pPr>
      <w:r>
        <w:t xml:space="preserve">AFTC expansion of awareness</w:t>
      </w:r>
    </w:p>
    <w:p>
      <w:pPr>
        <w:pStyle w:val="FirstParagraph"/>
      </w:pPr>
      <w:r>
        <w:t xml:space="preserve">AFTC consists of the Arnold Engineering Development Complex, the 412th Test Wing, and the 96th Test Wing, headquartered in central Tennessee, southern California, and northwest Florida, respectively. Each of these comprises several groups and divisions, and many squadrons, offices, and other units, many of which are located at bases and facilities not geographically coincident with their headquarters. Thanks to collaboration software, primarily Microsoft Teams, other communication channels, enterprise file sharing services, and cloud computing resources, data hackers can participate from any location.</w:t>
      </w:r>
    </w:p>
    <w:p>
      <w:pPr>
        <w:pStyle w:val="BodyText"/>
      </w:pPr>
      <w:r>
        <w:t xml:space="preserve">By drawing on these diverse and distributed data hackers, the AFTC Data Hackathon supervisor approval directly reaches many units across the Center. Senior leader judges are primarily drawn from Center, Wing, and Complex levels, and sometimes from the Group and Division level. Conscious effort is made for broad representation among the judge’s panel, to include officer, enlisted, and civil service leadership.</w:t>
      </w:r>
    </w:p>
    <w:p>
      <w:pPr>
        <w:pStyle w:val="BodyText"/>
      </w:pPr>
      <w:r>
        <w:t xml:space="preserve">Advertisement and invitations are broadly distributed through command channels, direct announcement among cross-cutting data working groups, basewide bulletins, innovation channels, public affairs (PA) articles, social media such as LinkedIn and Twitter, among others.</w:t>
      </w:r>
    </w:p>
    <w:bookmarkEnd w:id="38"/>
    <w:bookmarkEnd w:id="39"/>
    <w:bookmarkEnd w:id="40"/>
    <w:bookmarkStart w:id="43" w:name="data-hackathon-framework"/>
    <w:p>
      <w:pPr>
        <w:pStyle w:val="Heading1"/>
      </w:pPr>
      <w:r>
        <w:t xml:space="preserve">6. Data Hackathon Framework</w:t>
      </w:r>
    </w:p>
    <w:bookmarkStart w:id="41" w:name="locations"/>
    <w:p>
      <w:pPr>
        <w:pStyle w:val="Heading2"/>
      </w:pPr>
      <w:r>
        <w:t xml:space="preserve">6.1 Locations</w:t>
      </w:r>
    </w:p>
    <w:p>
      <w:pPr>
        <w:pStyle w:val="FirstParagraph"/>
      </w:pPr>
      <w:r>
        <w:t xml:space="preserve">The benefits and costs of on-premises and remote participation must be weighed by your organization. The AFTC Data Hackathon, at a minimum strives for an on-premises site at each of the headquarters bases, remote participation for those unable to travel is encouraged because it is more valuable than not participating.</w:t>
      </w:r>
    </w:p>
    <w:bookmarkEnd w:id="41"/>
    <w:bookmarkStart w:id="42" w:name="roles-and-responsibilities"/>
    <w:p>
      <w:pPr>
        <w:pStyle w:val="Heading2"/>
      </w:pPr>
      <w:r>
        <w:t xml:space="preserve">6.2 Roles and Responsibilities</w:t>
      </w:r>
    </w:p>
    <w:p>
      <w:pPr>
        <w:pStyle w:val="FirstParagraph"/>
      </w:pPr>
      <w:r>
        <w:rPr>
          <w:bCs/>
          <w:b/>
        </w:rPr>
        <w:t xml:space="preserve">Data Hacker:</w:t>
      </w:r>
      <w:r>
        <w:t xml:space="preserve"> </w:t>
      </w:r>
      <w:r>
        <w:t xml:space="preserve">Any individual with the desire to increase their experience, knowledge, skills, and abilities in the areas of user-centered design, data science, data engineering, small team execution, and digital transformation, while solving interesting problems with real mission impact. A variety of backgrounds contribute to a diverse team, as seen in</w:t>
      </w:r>
      <w:r>
        <w:t xml:space="preserve"> </w:t>
      </w:r>
      <w:hyperlink w:anchor="fig-kolassavenn">
        <w:r>
          <w:rPr>
            <w:rStyle w:val="Hyperlink"/>
          </w:rPr>
          <w:t xml:space="preserve">Figure 4</w:t>
        </w:r>
      </w:hyperlink>
      <w:r>
        <w:t xml:space="preserve"> </w:t>
      </w:r>
      <w:r>
        <w:t xml:space="preserve">in the Appendix.</w:t>
      </w:r>
    </w:p>
    <w:p>
      <w:pPr>
        <w:pStyle w:val="BodyText"/>
      </w:pPr>
      <w:r>
        <w:rPr>
          <w:bCs/>
          <w:b/>
        </w:rPr>
        <w:t xml:space="preserve">Problem Owner:</w:t>
      </w:r>
      <w:r>
        <w:t xml:space="preserve"> </w:t>
      </w:r>
      <w:r>
        <w:t xml:space="preserve">Primary point of contact to Data Hackathon personnel in general, and to the hacker teams working a solution, for problem definition and associated datasets. Attends problem definition and scoping meetings. Assists in creating communication content, including a</w:t>
      </w:r>
      <w:r>
        <w:t xml:space="preserve"> </w:t>
      </w:r>
      <w:r>
        <w:t xml:space="preserve">“</w:t>
      </w:r>
      <w:r>
        <w:t xml:space="preserve">short title</w:t>
      </w:r>
      <w:r>
        <w:t xml:space="preserve">”</w:t>
      </w:r>
      <w:r>
        <w:t xml:space="preserve"> </w:t>
      </w:r>
      <w:r>
        <w:t xml:space="preserve">to help uniquely identify the problem. Creates a pre-recorded problem introduction briefing for use by data hackers as they choose a problem to work during team formation, and for use by judges to educate the judges panel on the value proposition and context for the teams’ solutions. Identifies an alternate problem owner. Work to operationalize the proof-of-concept or prototype generated during the event.</w:t>
      </w:r>
    </w:p>
    <w:p>
      <w:pPr>
        <w:pStyle w:val="BodyText"/>
      </w:pPr>
      <w:r>
        <w:rPr>
          <w:bCs/>
          <w:b/>
        </w:rPr>
        <w:t xml:space="preserve">Director:</w:t>
      </w:r>
      <w:r>
        <w:t xml:space="preserve"> </w:t>
      </w:r>
      <w:r>
        <w:t xml:space="preserve">Provides overall vision for the event. Sets event calendar. Determines event objectives. Ensures roles are filled and personnel are trained.</w:t>
      </w:r>
    </w:p>
    <w:p>
      <w:pPr>
        <w:pStyle w:val="BodyText"/>
      </w:pPr>
      <w:r>
        <w:rPr>
          <w:bCs/>
          <w:b/>
        </w:rPr>
        <w:t xml:space="preserve">Lead Software Officer:</w:t>
      </w:r>
      <w:r>
        <w:t xml:space="preserve"> </w:t>
      </w:r>
      <w:r>
        <w:t xml:space="preserve">This individual will guarantee the mission impact of the event and be responsible for guiding solutions from proof-of-concept or prototype created during the event to operationalization and beyond.</w:t>
      </w:r>
    </w:p>
    <w:p>
      <w:pPr>
        <w:pStyle w:val="BodyText"/>
      </w:pPr>
      <w:r>
        <w:rPr>
          <w:bCs/>
          <w:b/>
        </w:rPr>
        <w:t xml:space="preserve">Event Site Lead:</w:t>
      </w:r>
      <w:r>
        <w:t xml:space="preserve"> </w:t>
      </w:r>
      <w:r>
        <w:rPr>
          <w:iCs/>
          <w:i/>
        </w:rPr>
        <w:t xml:space="preserve">Broad project officer skillset</w:t>
      </w:r>
      <w:r>
        <w:t xml:space="preserve">. Manages operations and logistics support for their site. (One per site)</w:t>
      </w:r>
    </w:p>
    <w:p>
      <w:pPr>
        <w:pStyle w:val="BodyText"/>
      </w:pPr>
      <w:r>
        <w:rPr>
          <w:bCs/>
          <w:b/>
        </w:rPr>
        <w:t xml:space="preserve">Solution Development Support:</w:t>
      </w:r>
      <w:r>
        <w:t xml:space="preserve"> </w:t>
      </w:r>
      <w:r>
        <w:rPr>
          <w:iCs/>
          <w:i/>
        </w:rPr>
        <w:t xml:space="preserve">Data science team leadership skillset</w:t>
      </w:r>
      <w:r>
        <w:t xml:space="preserve">. These individuals work alongside hackers during the event and guide them through the process of working collaboratively in a team of developers. The solution development support position contributes to the</w:t>
      </w:r>
      <w:r>
        <w:t xml:space="preserve"> </w:t>
      </w:r>
      <w:r>
        <w:t xml:space="preserve">“</w:t>
      </w:r>
      <w:r>
        <w:t xml:space="preserve">flavor</w:t>
      </w:r>
      <w:r>
        <w:t xml:space="preserve">”</w:t>
      </w:r>
      <w:r>
        <w:t xml:space="preserve"> </w:t>
      </w:r>
      <w:r>
        <w:t xml:space="preserve">of all solutions during the event. (One per site)</w:t>
      </w:r>
    </w:p>
    <w:p>
      <w:pPr>
        <w:pStyle w:val="BodyText"/>
      </w:pPr>
      <w:r>
        <w:rPr>
          <w:bCs/>
          <w:b/>
        </w:rPr>
        <w:t xml:space="preserve">Mission/Data Solution Integration Lead:</w:t>
      </w:r>
      <w:r>
        <w:t xml:space="preserve"> </w:t>
      </w:r>
      <w:r>
        <w:rPr>
          <w:iCs/>
          <w:i/>
        </w:rPr>
        <w:t xml:space="preserve">Data officers in-training</w:t>
      </w:r>
      <w:r>
        <w:t xml:space="preserve">. These volunteers will gain experience leading problem owners in the translation of a mission problem into a data problem which is well-scoped for the event. They will gain a breadth of understanding in the field of data science and data engineering sufficient to help others scope problems or extrapolate solutions from the current state of possible.</w:t>
      </w:r>
    </w:p>
    <w:p>
      <w:pPr>
        <w:pStyle w:val="BodyText"/>
      </w:pPr>
      <w:r>
        <w:rPr>
          <w:bCs/>
          <w:b/>
        </w:rPr>
        <w:t xml:space="preserve">Alternate Problem Owner:</w:t>
      </w:r>
      <w:r>
        <w:t xml:space="preserve"> </w:t>
      </w:r>
      <w:r>
        <w:t xml:space="preserve">Alternate point of contact if problem owner is unavailable to support definition, solution, and operationalization.</w:t>
      </w:r>
    </w:p>
    <w:bookmarkEnd w:id="42"/>
    <w:bookmarkEnd w:id="43"/>
    <w:bookmarkStart w:id="44" w:name="lessons-learned"/>
    <w:p>
      <w:pPr>
        <w:pStyle w:val="Heading1"/>
      </w:pPr>
      <w:r>
        <w:t xml:space="preserve">7. Lessons Learned</w:t>
      </w:r>
    </w:p>
    <w:p>
      <w:pPr>
        <w:pStyle w:val="FirstParagraph"/>
      </w:pPr>
      <w:r>
        <w:t xml:space="preserve">Knowledge learned along the way and of value to the next brave soul to work in this area.</w:t>
      </w:r>
    </w:p>
    <w:bookmarkEnd w:id="44"/>
    <w:bookmarkStart w:id="45" w:name="conclusions"/>
    <w:p>
      <w:pPr>
        <w:pStyle w:val="Heading1"/>
      </w:pPr>
      <w:r>
        <w:t xml:space="preserve">8. Conclusions</w:t>
      </w:r>
    </w:p>
    <w:p>
      <w:pPr>
        <w:pStyle w:val="FirstParagraph"/>
      </w:pPr>
      <w:r>
        <w:t xml:space="preserve">Points to be drawn from the material and data provided.</w:t>
      </w:r>
    </w:p>
    <w:bookmarkEnd w:id="45"/>
    <w:bookmarkStart w:id="58" w:name="data-science-venn-diagrams"/>
    <w:p>
      <w:pPr>
        <w:pStyle w:val="Heading1"/>
      </w:pPr>
      <w:r>
        <w:t xml:space="preserve">Data Science Venn Diagrams</w:t>
      </w:r>
    </w:p>
    <w:p>
      <w:pPr>
        <w:pStyle w:val="FirstParagraph"/>
      </w:pPr>
      <w:r>
        <w:t xml:space="preserve">Many attempts to capture the essence of the field of data science have been made in the last decade and more. One of the earliest was from Drew Conway,</w:t>
      </w:r>
      <w:r>
        <w:t xml:space="preserve"> </w:t>
      </w:r>
      <w:hyperlink w:anchor="fig-conwayvenn">
        <w:r>
          <w:rPr>
            <w:rStyle w:val="Hyperlink"/>
          </w:rPr>
          <w:t xml:space="preserve">Figure 3</w:t>
        </w:r>
      </w:hyperlink>
      <w:r>
        <w:t xml:space="preserve">, and explained in his blog post</w:t>
      </w:r>
      <w:r>
        <w:t xml:space="preserve"> </w:t>
      </w:r>
      <w:r>
        <w:t xml:space="preserve">(Conway 2010)</w:t>
      </w:r>
      <w:r>
        <w:t xml:space="preserve">.</w:t>
      </w:r>
    </w:p>
    <w:tbl>
      <w:tblPr>
        <w:tblStyle w:val="Table"/>
        <w:tblW w:type="pct" w:w="5000"/>
        <w:tblLook w:firstRow="0" w:lastRow="0" w:firstColumn="0" w:lastColumn="0" w:noHBand="0" w:noVBand="0" w:val="0000"/>
      </w:tblPr>
      <w:tblGrid>
        <w:gridCol w:w="7920"/>
      </w:tblGrid>
      <w:tr>
        <w:tc>
          <w:tcPr/>
          <w:bookmarkStart w:id="49" w:name="fig-conwayvenn"/>
          <w:p>
            <w:pPr>
              <w:pStyle w:val="Figure"/>
              <w:jc w:val="center"/>
            </w:pPr>
            <w:r>
              <w:drawing>
                <wp:inline>
                  <wp:extent cx="6400800" cy="6109854"/>
                  <wp:effectExtent b="0" l="0" r="0" t="0"/>
                  <wp:docPr descr="" title="" id="47" name="Picture"/>
                  <a:graphic>
                    <a:graphicData uri="http://schemas.openxmlformats.org/drawingml/2006/picture">
                      <pic:pic>
                        <pic:nvPicPr>
                          <pic:cNvPr descr="Data_Science_VD.png" id="48" name="Picture"/>
                          <pic:cNvPicPr>
                            <a:picLocks noChangeArrowheads="1" noChangeAspect="1"/>
                          </pic:cNvPicPr>
                        </pic:nvPicPr>
                        <pic:blipFill>
                          <a:blip r:embed="rId46"/>
                          <a:stretch>
                            <a:fillRect/>
                          </a:stretch>
                        </pic:blipFill>
                        <pic:spPr bwMode="auto">
                          <a:xfrm>
                            <a:off x="0" y="0"/>
                            <a:ext cx="6400800" cy="61098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Conway’s Data Science Venn Diagram</w:t>
            </w:r>
          </w:p>
          <w:bookmarkEnd w:id="49"/>
        </w:tc>
      </w:tr>
    </w:tbl>
    <w:p>
      <w:pPr>
        <w:pStyle w:val="BodyText"/>
      </w:pPr>
      <w:r>
        <w:t xml:space="preserve">In the years since, many attempts at summarizing the emerging field were made. One blog post found 13 different Venn diagrams</w:t>
      </w:r>
      <w:r>
        <w:t xml:space="preserve"> </w:t>
      </w:r>
      <w:r>
        <w:t xml:space="preserve">(Taylor 2016)</w:t>
      </w:r>
      <w:r>
        <w:t xml:space="preserve">!</w:t>
      </w:r>
    </w:p>
    <w:p>
      <w:pPr>
        <w:pStyle w:val="BodyText"/>
      </w:pPr>
      <w:r>
        <w:t xml:space="preserve">The version that covers the essentials and happens to be a correct 4-element Venn diagram,</w:t>
      </w:r>
      <w:r>
        <w:t xml:space="preserve"> </w:t>
      </w:r>
      <w:hyperlink w:anchor="fig-kolassavenn">
        <w:r>
          <w:rPr>
            <w:rStyle w:val="Hyperlink"/>
          </w:rPr>
          <w:t xml:space="preserve">Figure 4</w:t>
        </w:r>
      </w:hyperlink>
      <w:r>
        <w:t xml:space="preserve"> </w:t>
      </w:r>
      <w:r>
        <w:t xml:space="preserve">was created by Stephan Kolassa in an answer to a Data Science Stack Exchange question</w:t>
      </w:r>
      <w:r>
        <w:t xml:space="preserve"> </w:t>
      </w:r>
      <w:r>
        <w:t xml:space="preserve">(Kolassa 2014)</w:t>
      </w:r>
      <w:r>
        <w:t xml:space="preserve">.</w:t>
      </w:r>
    </w:p>
    <w:tbl>
      <w:tblPr>
        <w:tblStyle w:val="Table"/>
        <w:tblW w:type="pct" w:w="5000"/>
        <w:tblLook w:firstRow="0" w:lastRow="0" w:firstColumn="0" w:lastColumn="0" w:noHBand="0" w:noVBand="0" w:val="0000"/>
      </w:tblPr>
      <w:tblGrid>
        <w:gridCol w:w="7920"/>
      </w:tblGrid>
      <w:tr>
        <w:tc>
          <w:tcPr/>
          <w:bookmarkStart w:id="53" w:name="fig-kolassavenn"/>
          <w:p>
            <w:pPr>
              <w:pStyle w:val="Figure"/>
              <w:jc w:val="center"/>
            </w:pPr>
            <w:r>
              <w:drawing>
                <wp:inline>
                  <wp:extent cx="6400800" cy="6400800"/>
                  <wp:effectExtent b="0" l="0" r="0" t="0"/>
                  <wp:docPr descr="" title="" id="51" name="Picture"/>
                  <a:graphic>
                    <a:graphicData uri="http://schemas.openxmlformats.org/drawingml/2006/picture">
                      <pic:pic>
                        <pic:nvPicPr>
                          <pic:cNvPr descr="Venn.png" id="52" name="Picture"/>
                          <pic:cNvPicPr>
                            <a:picLocks noChangeArrowheads="1" noChangeAspect="1"/>
                          </pic:cNvPicPr>
                        </pic:nvPicPr>
                        <pic:blipFill>
                          <a:blip r:embed="rId50"/>
                          <a:stretch>
                            <a:fillRect/>
                          </a:stretch>
                        </pic:blipFill>
                        <pic:spPr bwMode="auto">
                          <a:xfrm>
                            <a:off x="0" y="0"/>
                            <a:ext cx="64008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Kolassa’s Data Science Venn Diagram</w:t>
            </w:r>
          </w:p>
          <w:bookmarkEnd w:id="53"/>
        </w:tc>
      </w:tr>
    </w:tbl>
    <w:p>
      <w:pPr>
        <w:pStyle w:val="BodyText"/>
      </w:pPr>
      <w:r>
        <w:t xml:space="preserve">A few key takeaways:</w:t>
      </w:r>
    </w:p>
    <w:p>
      <w:pPr>
        <w:numPr>
          <w:ilvl w:val="0"/>
          <w:numId w:val="1015"/>
        </w:numPr>
        <w:pStyle w:val="Compact"/>
      </w:pPr>
      <w:r>
        <w:t xml:space="preserve">No one person can cover down on all the elements with expertise. Data is a team sport. An organizational model more appropriate than a Venn Diagram may be a</w:t>
      </w:r>
      <w:r>
        <w:t xml:space="preserve"> </w:t>
      </w:r>
      <w:r>
        <w:t xml:space="preserve">“</w:t>
      </w:r>
      <w:r>
        <w:t xml:space="preserve">T-diagram</w:t>
      </w:r>
      <w:r>
        <w:t xml:space="preserve">”</w:t>
      </w:r>
      <w:r>
        <w:t xml:space="preserve">,</w:t>
      </w:r>
      <w:r>
        <w:t xml:space="preserve"> </w:t>
      </w:r>
      <w:hyperlink w:anchor="fig-tshape">
        <w:r>
          <w:rPr>
            <w:rStyle w:val="Hyperlink"/>
          </w:rPr>
          <w:t xml:space="preserve">Figure 5</w:t>
        </w:r>
      </w:hyperlink>
      <w:r>
        <w:t xml:space="preserve">, which has each element in a column, and each person’s skills indicated by the depth of each column</w:t>
      </w:r>
      <w:r>
        <w:t xml:space="preserve"> </w:t>
      </w:r>
      <w:r>
        <w:t xml:space="preserve">(Gorjão 2020)</w:t>
      </w:r>
      <w:r>
        <w:t xml:space="preserve">. The breadth is to encourage cross-talk and empathy within the team, and the depth is to ensure sufficient capability exists to complete the work.</w:t>
      </w:r>
    </w:p>
    <w:tbl>
      <w:tblPr>
        <w:tblStyle w:val="Table"/>
        <w:tblW w:type="pct" w:w="5000"/>
        <w:tblLook w:firstRow="0" w:lastRow="0" w:firstColumn="0" w:lastColumn="0" w:noHBand="0" w:noVBand="0" w:val="0000"/>
      </w:tblPr>
      <w:tblGrid>
        <w:gridCol w:w="7920"/>
      </w:tblGrid>
      <w:tr>
        <w:tc>
          <w:tcPr/>
          <w:bookmarkStart w:id="57" w:name="fig-tshape"/>
          <w:p>
            <w:pPr>
              <w:pStyle w:val="Figure"/>
              <w:jc w:val="center"/>
            </w:pPr>
            <w:r>
              <w:drawing>
                <wp:inline>
                  <wp:extent cx="5181600" cy="3276600"/>
                  <wp:effectExtent b="0" l="0" r="0" t="0"/>
                  <wp:docPr descr="" title="" id="55" name="Picture"/>
                  <a:graphic>
                    <a:graphicData uri="http://schemas.openxmlformats.org/drawingml/2006/picture">
                      <pic:pic>
                        <pic:nvPicPr>
                          <pic:cNvPr descr="t-shaped-professionals.png" id="56" name="Picture"/>
                          <pic:cNvPicPr>
                            <a:picLocks noChangeArrowheads="1" noChangeAspect="1"/>
                          </pic:cNvPicPr>
                        </pic:nvPicPr>
                        <pic:blipFill>
                          <a:blip r:embed="rId54"/>
                          <a:stretch>
                            <a:fillRect/>
                          </a:stretch>
                        </pic:blipFill>
                        <pic:spPr bwMode="auto">
                          <a:xfrm>
                            <a:off x="0" y="0"/>
                            <a:ext cx="5181600" cy="3276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T-shaped Professionals</w:t>
            </w:r>
          </w:p>
          <w:bookmarkEnd w:id="57"/>
        </w:tc>
      </w:tr>
    </w:tbl>
    <w:p>
      <w:pPr>
        <w:numPr>
          <w:ilvl w:val="0"/>
          <w:numId w:val="1016"/>
        </w:numPr>
        <w:pStyle w:val="Compact"/>
      </w:pPr>
      <w:r>
        <w:t xml:space="preserve">These Venn diagrams speak only to the data science discipline. There are other disciplines as well</w:t>
      </w:r>
    </w:p>
    <w:p>
      <w:pPr>
        <w:numPr>
          <w:ilvl w:val="0"/>
          <w:numId w:val="1017"/>
        </w:numPr>
        <w:pStyle w:val="Compact"/>
      </w:pPr>
      <w:r>
        <w:t xml:space="preserve">Data Science</w:t>
      </w:r>
    </w:p>
    <w:p>
      <w:pPr>
        <w:numPr>
          <w:ilvl w:val="0"/>
          <w:numId w:val="1017"/>
        </w:numPr>
        <w:pStyle w:val="Compact"/>
      </w:pPr>
      <w:r>
        <w:t xml:space="preserve">Data Engineering</w:t>
      </w:r>
    </w:p>
    <w:p>
      <w:pPr>
        <w:numPr>
          <w:ilvl w:val="0"/>
          <w:numId w:val="1017"/>
        </w:numPr>
        <w:pStyle w:val="Compact"/>
      </w:pPr>
      <w:r>
        <w:t xml:space="preserve">Data Operations</w:t>
      </w:r>
    </w:p>
    <w:p>
      <w:pPr>
        <w:numPr>
          <w:ilvl w:val="0"/>
          <w:numId w:val="1017"/>
        </w:numPr>
        <w:pStyle w:val="Compact"/>
      </w:pPr>
      <w:r>
        <w:t xml:space="preserve">Data Analyst</w:t>
      </w:r>
    </w:p>
    <w:p>
      <w:pPr>
        <w:pStyle w:val="FirstParagraph"/>
      </w:pPr>
      <w:r>
        <w:t xml:space="preserve">Jesse Anderson writes about some ways to approach a whole-of-data team</w:t>
      </w:r>
      <w:r>
        <w:t xml:space="preserve"> </w:t>
      </w:r>
      <w:r>
        <w:t xml:space="preserve">(Anderson 2020)</w:t>
      </w:r>
    </w:p>
    <w:bookmarkEnd w:id="58"/>
    <w:bookmarkStart w:id="59" w:name="acknowledgement"/>
    <w:p>
      <w:pPr>
        <w:pStyle w:val="Heading1"/>
      </w:pPr>
      <w:r>
        <w:t xml:space="preserve">Acknowledgement</w:t>
      </w:r>
    </w:p>
    <w:p>
      <w:pPr>
        <w:pStyle w:val="FirstParagraph"/>
      </w:pPr>
      <w:r>
        <w:t xml:space="preserve">To extend thanks in support of the paper.</w:t>
      </w:r>
    </w:p>
    <w:bookmarkEnd w:id="59"/>
    <w:bookmarkStart w:id="115" w:name="references"/>
    <w:p>
      <w:pPr>
        <w:pStyle w:val="Heading1"/>
      </w:pPr>
      <w:r>
        <w:t xml:space="preserve">References</w:t>
      </w:r>
    </w:p>
    <w:bookmarkStart w:id="114" w:name="refs"/>
    <w:bookmarkStart w:id="61" w:name="X2f65e31ff89ac1b1c6c7cca3505e4dfe5b264d2"/>
    <w:p>
      <w:pPr>
        <w:pStyle w:val="Bibliography"/>
      </w:pPr>
      <w:r>
        <w:t xml:space="preserve">Anderson, Jesse. 2020.</w:t>
      </w:r>
      <w:r>
        <w:t xml:space="preserve"> </w:t>
      </w:r>
      <w:r>
        <w:rPr>
          <w:iCs/>
          <w:i/>
        </w:rPr>
        <w:t xml:space="preserve">Data Teams: A Unified Management Model for Successful Data-Focused Teams</w:t>
      </w:r>
      <w:r>
        <w:t xml:space="preserve">. Berkeley, CA: Apress.</w:t>
      </w:r>
      <w:r>
        <w:t xml:space="preserve"> </w:t>
      </w:r>
      <w:hyperlink r:id="rId60">
        <w:r>
          <w:rPr>
            <w:rStyle w:val="Hyperlink"/>
          </w:rPr>
          <w:t xml:space="preserve">https://doi.org/10.1007/978-1-4842-6228-3</w:t>
        </w:r>
      </w:hyperlink>
      <w:r>
        <w:t xml:space="preserve">.</w:t>
      </w:r>
    </w:p>
    <w:bookmarkEnd w:id="61"/>
    <w:bookmarkStart w:id="63"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62">
        <w:r>
          <w:rPr>
            <w:rStyle w:val="Hyperlink"/>
          </w:rPr>
          <w:t xml:space="preserve">https://spark.apache.org/</w:t>
        </w:r>
      </w:hyperlink>
      <w:r>
        <w:t xml:space="preserve">.</w:t>
      </w:r>
    </w:p>
    <w:bookmarkEnd w:id="63"/>
    <w:bookmarkStart w:id="65" w:name="Xa26df6e7eeba8439959ecdc01bd8fcb72c4cb32"/>
    <w:p>
      <w:pPr>
        <w:pStyle w:val="Bibliography"/>
      </w:pPr>
      <w:r>
        <w:t xml:space="preserve">Caulcutt, Roland. 2021.</w:t>
      </w:r>
      <w:r>
        <w:t xml:space="preserve"> </w:t>
      </w:r>
      <w:r>
        <w:t xml:space="preserve">“How Can We Help Decision‐makers?”</w:t>
      </w:r>
      <w:r>
        <w:t xml:space="preserve"> </w:t>
      </w:r>
      <w:r>
        <w:rPr>
          <w:iCs/>
          <w:i/>
        </w:rPr>
        <w:t xml:space="preserve">Significance</w:t>
      </w:r>
      <w:r>
        <w:t xml:space="preserve"> </w:t>
      </w:r>
      <w:r>
        <w:t xml:space="preserve">18 (3): 34–35.</w:t>
      </w:r>
      <w:r>
        <w:t xml:space="preserve"> </w:t>
      </w:r>
      <w:hyperlink r:id="rId64">
        <w:r>
          <w:rPr>
            <w:rStyle w:val="Hyperlink"/>
          </w:rPr>
          <w:t xml:space="preserve">https://doi.org/10.1111/1740-9713.01531</w:t>
        </w:r>
      </w:hyperlink>
      <w:r>
        <w:t xml:space="preserve">.</w:t>
      </w:r>
    </w:p>
    <w:bookmarkEnd w:id="65"/>
    <w:bookmarkStart w:id="67"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66">
        <w:r>
          <w:rPr>
            <w:rStyle w:val="Hyperlink"/>
          </w:rPr>
          <w:t xml:space="preserve">https://aws.amazon.com/</w:t>
        </w:r>
      </w:hyperlink>
      <w:r>
        <w:t xml:space="preserve">.</w:t>
      </w:r>
    </w:p>
    <w:bookmarkEnd w:id="67"/>
    <w:bookmarkStart w:id="69"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68">
        <w:r>
          <w:rPr>
            <w:rStyle w:val="Hyperlink"/>
          </w:rPr>
          <w:t xml:space="preserve">https://azure.microsoft.com/en-us/</w:t>
        </w:r>
      </w:hyperlink>
      <w:r>
        <w:t xml:space="preserve">.</w:t>
      </w:r>
    </w:p>
    <w:bookmarkEnd w:id="69"/>
    <w:bookmarkStart w:id="71"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70">
        <w:r>
          <w:rPr>
            <w:rStyle w:val="Hyperlink"/>
          </w:rPr>
          <w:t xml:space="preserve">https://aws.amazon.com/s3/</w:t>
        </w:r>
      </w:hyperlink>
      <w:r>
        <w:t xml:space="preserve">.</w:t>
      </w:r>
    </w:p>
    <w:bookmarkEnd w:id="71"/>
    <w:bookmarkStart w:id="73"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72">
        <w:r>
          <w:rPr>
            <w:rStyle w:val="Hyperlink"/>
          </w:rPr>
          <w:t xml:space="preserve">https://www.aftc.af.mil/News/Article-Display/Article/3130340/third-iteration-of-aftc-data-hackathon-an-innovation-success</w:t>
        </w:r>
      </w:hyperlink>
      <w:r>
        <w:t xml:space="preserve">.</w:t>
      </w:r>
    </w:p>
    <w:bookmarkEnd w:id="73"/>
    <w:bookmarkStart w:id="75" w:name="X141450c0b13557fcad6da09764eefb85c8e2561"/>
    <w:p>
      <w:pPr>
        <w:pStyle w:val="Bibliography"/>
      </w:pPr>
      <w:r>
        <w:t xml:space="preserve">Conway, Drew. 2010.</w:t>
      </w:r>
      <w:r>
        <w:t xml:space="preserve"> </w:t>
      </w:r>
      <w:r>
        <w:t xml:space="preserve">“The Data Science Venn Diagram.”</w:t>
      </w:r>
      <w:r>
        <w:t xml:space="preserve"> </w:t>
      </w:r>
      <w:r>
        <w:t xml:space="preserve">Blog. Drew Conway. September 30, 2010.</w:t>
      </w:r>
      <w:r>
        <w:t xml:space="preserve"> </w:t>
      </w:r>
      <w:hyperlink r:id="rId74">
        <w:r>
          <w:rPr>
            <w:rStyle w:val="Hyperlink"/>
          </w:rPr>
          <w:t xml:space="preserve">http://drewconway.com/zia/2013/3/26/the-data-science-venn-diagram</w:t>
        </w:r>
      </w:hyperlink>
      <w:r>
        <w:t xml:space="preserve">.</w:t>
      </w:r>
    </w:p>
    <w:bookmarkEnd w:id="75"/>
    <w:bookmarkStart w:id="77"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76">
        <w:r>
          <w:rPr>
            <w:rStyle w:val="Hyperlink"/>
          </w:rPr>
          <w:t xml:space="preserve">https://powerplatform.microsoft.com/en-us/</w:t>
        </w:r>
      </w:hyperlink>
      <w:r>
        <w:t xml:space="preserve">.</w:t>
      </w:r>
    </w:p>
    <w:bookmarkEnd w:id="77"/>
    <w:bookmarkStart w:id="79"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78">
        <w:r>
          <w:rPr>
            <w:rStyle w:val="Hyperlink"/>
          </w:rPr>
          <w:t xml:space="preserve">https://creativecommons.org/faq/#When_is_my_use_considered_an_adaptation</w:t>
        </w:r>
      </w:hyperlink>
      <w:r>
        <w:t xml:space="preserve">.</w:t>
      </w:r>
    </w:p>
    <w:bookmarkEnd w:id="79"/>
    <w:bookmarkStart w:id="81" w:name="Xcc22c7fccc496c4e8994332bfb0bb71502dfc7c"/>
    <w:p>
      <w:pPr>
        <w:pStyle w:val="Bibliography"/>
      </w:pPr>
      <w:r>
        <w:t xml:space="preserve">“Dash Overview.”</w:t>
      </w:r>
      <w:r>
        <w:t xml:space="preserve"> </w:t>
      </w:r>
      <w:r>
        <w:t xml:space="preserve">n.d. Accessed August 26, 2022.</w:t>
      </w:r>
      <w:r>
        <w:t xml:space="preserve"> </w:t>
      </w:r>
      <w:hyperlink r:id="rId80">
        <w:r>
          <w:rPr>
            <w:rStyle w:val="Hyperlink"/>
          </w:rPr>
          <w:t xml:space="preserve">https://plotly.com/dash</w:t>
        </w:r>
      </w:hyperlink>
      <w:r>
        <w:t xml:space="preserve">.</w:t>
      </w:r>
    </w:p>
    <w:bookmarkEnd w:id="81"/>
    <w:bookmarkStart w:id="83" w:name="Xef47b89cdb3f19c18ce5eb3affd9d2d03b771c6"/>
    <w:p>
      <w:pPr>
        <w:pStyle w:val="Bibliography"/>
      </w:pPr>
      <w:r>
        <w:t xml:space="preserve">“Data Hackathon.”</w:t>
      </w:r>
      <w:r>
        <w:t xml:space="preserve"> </w:t>
      </w:r>
      <w:r>
        <w:t xml:space="preserve">n.d. Accessed August 26, 2022.</w:t>
      </w:r>
      <w:r>
        <w:t xml:space="preserve"> </w:t>
      </w:r>
      <w:hyperlink r:id="rId82">
        <w:r>
          <w:rPr>
            <w:rStyle w:val="Hyperlink"/>
          </w:rPr>
          <w:t xml:space="preserve">https://www.aftc.af.mil/About-Us/Data-Hackathon/</w:t>
        </w:r>
      </w:hyperlink>
      <w:r>
        <w:t xml:space="preserve">.</w:t>
      </w:r>
    </w:p>
    <w:bookmarkEnd w:id="83"/>
    <w:bookmarkStart w:id="85"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84">
        <w:r>
          <w:rPr>
            <w:rStyle w:val="Hyperlink"/>
          </w:rPr>
          <w:t xml:space="preserve">https://www.databricks.com/</w:t>
        </w:r>
      </w:hyperlink>
      <w:r>
        <w:t xml:space="preserve">.</w:t>
      </w:r>
    </w:p>
    <w:bookmarkEnd w:id="85"/>
    <w:bookmarkStart w:id="87" w:name="X38cd49d2d81a70c55a255b2f6e7a3e69bfafc7d"/>
    <w:p>
      <w:pPr>
        <w:pStyle w:val="Bibliography"/>
      </w:pPr>
      <w:r>
        <w:t xml:space="preserve">“Foundry | Palantir.”</w:t>
      </w:r>
      <w:r>
        <w:t xml:space="preserve"> </w:t>
      </w:r>
      <w:r>
        <w:t xml:space="preserve">n.d. Accessed August 26, 2022.</w:t>
      </w:r>
      <w:r>
        <w:t xml:space="preserve"> </w:t>
      </w:r>
      <w:hyperlink r:id="rId86">
        <w:r>
          <w:rPr>
            <w:rStyle w:val="Hyperlink"/>
          </w:rPr>
          <w:t xml:space="preserve">https://www.palantir.com/platforms/foundry/</w:t>
        </w:r>
      </w:hyperlink>
      <w:r>
        <w:t xml:space="preserve">.</w:t>
      </w:r>
    </w:p>
    <w:bookmarkEnd w:id="87"/>
    <w:bookmarkStart w:id="89" w:name="X60ee24df3eaa5dabfeff334748bcc2b524fae4e"/>
    <w:p>
      <w:pPr>
        <w:pStyle w:val="Bibliography"/>
      </w:pPr>
      <w:r>
        <w:t xml:space="preserve">Gorjão, Sara. 2020.</w:t>
      </w:r>
      <w:r>
        <w:t xml:space="preserve"> </w:t>
      </w:r>
      <w:r>
        <w:t xml:space="preserve">“The Benefits of T-Shaped Teams.”</w:t>
      </w:r>
      <w:r>
        <w:t xml:space="preserve"> </w:t>
      </w:r>
      <w:r>
        <w:t xml:space="preserve">LinkedIn Article. LinkedIn. May 19, 2020.</w:t>
      </w:r>
      <w:r>
        <w:t xml:space="preserve"> </w:t>
      </w:r>
      <w:hyperlink r:id="rId88">
        <w:r>
          <w:rPr>
            <w:rStyle w:val="Hyperlink"/>
          </w:rPr>
          <w:t xml:space="preserve">https://www.linkedin.com/pulse/benefits-t-shaped-teams-sara-gorj%C3%A3o</w:t>
        </w:r>
      </w:hyperlink>
      <w:r>
        <w:t xml:space="preserve">.</w:t>
      </w:r>
    </w:p>
    <w:bookmarkEnd w:id="89"/>
    <w:bookmarkStart w:id="91" w:name="X74f8f299d87ee4b85679186b5c195cdc6482519"/>
    <w:p>
      <w:pPr>
        <w:pStyle w:val="Bibliography"/>
      </w:pPr>
      <w:r>
        <w:t xml:space="preserve">“Hackathon:Etymology.”</w:t>
      </w:r>
      <w:r>
        <w:t xml:space="preserve"> </w:t>
      </w:r>
      <w:r>
        <w:t xml:space="preserve">2022. In</w:t>
      </w:r>
      <w:r>
        <w:t xml:space="preserve"> </w:t>
      </w:r>
      <w:r>
        <w:rPr>
          <w:iCs/>
          <w:i/>
        </w:rPr>
        <w:t xml:space="preserve">Wikipedia</w:t>
      </w:r>
      <w:r>
        <w:t xml:space="preserve">.</w:t>
      </w:r>
      <w:r>
        <w:t xml:space="preserve"> </w:t>
      </w:r>
      <w:hyperlink r:id="rId90">
        <w:r>
          <w:rPr>
            <w:rStyle w:val="Hyperlink"/>
          </w:rPr>
          <w:t xml:space="preserve">https://en.wikipedia.org/wiki/Hackathon#Etymology</w:t>
        </w:r>
      </w:hyperlink>
      <w:r>
        <w:t xml:space="preserve">.</w:t>
      </w:r>
    </w:p>
    <w:bookmarkEnd w:id="91"/>
    <w:bookmarkStart w:id="93"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92">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93"/>
    <w:bookmarkStart w:id="95"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94">
        <w:r>
          <w:rPr>
            <w:rStyle w:val="Hyperlink"/>
          </w:rPr>
          <w:t xml:space="preserve">https://gethue.com/</w:t>
        </w:r>
      </w:hyperlink>
      <w:r>
        <w:t xml:space="preserve">.</w:t>
      </w:r>
    </w:p>
    <w:bookmarkEnd w:id="95"/>
    <w:bookmarkStart w:id="97"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96">
        <w:r>
          <w:rPr>
            <w:rStyle w:val="Hyperlink"/>
          </w:rPr>
          <w:t xml:space="preserve">https://www.youtube.com/watch?v=00HftDEJ6cY</w:t>
        </w:r>
      </w:hyperlink>
      <w:r>
        <w:t xml:space="preserve">.</w:t>
      </w:r>
    </w:p>
    <w:bookmarkEnd w:id="97"/>
    <w:bookmarkStart w:id="99" w:name="Xb6283851506d9c0118b66564ecfa3d82767f7ad"/>
    <w:p>
      <w:pPr>
        <w:pStyle w:val="Bibliography"/>
      </w:pPr>
      <w:r>
        <w:t xml:space="preserve">Kolassa, Stephan. 2014.</w:t>
      </w:r>
      <w:r>
        <w:t xml:space="preserve"> </w:t>
      </w:r>
      <w:r>
        <w:t xml:space="preserve">“Answer to</w:t>
      </w:r>
      <w:r>
        <w:t xml:space="preserve"> </w:t>
      </w:r>
      <w:r>
        <w:t xml:space="preserve">‘Data Science Without Knowledge of a Specific Topic, Is It Worth Pursuing as a Career?’</w:t>
      </w:r>
      <w:r>
        <w:t xml:space="preserve">”</w:t>
      </w:r>
      <w:r>
        <w:t xml:space="preserve"> </w:t>
      </w:r>
      <w:r>
        <w:rPr>
          <w:iCs/>
          <w:i/>
        </w:rPr>
        <w:t xml:space="preserve">Data Science Stack Exchange</w:t>
      </w:r>
      <w:r>
        <w:t xml:space="preserve">.</w:t>
      </w:r>
      <w:r>
        <w:t xml:space="preserve"> </w:t>
      </w:r>
      <w:hyperlink r:id="rId98">
        <w:r>
          <w:rPr>
            <w:rStyle w:val="Hyperlink"/>
          </w:rPr>
          <w:t xml:space="preserve">https://datascience.stackexchange.com/a/2406</w:t>
        </w:r>
      </w:hyperlink>
      <w:r>
        <w:t xml:space="preserve">.</w:t>
      </w:r>
    </w:p>
    <w:bookmarkEnd w:id="99"/>
    <w:bookmarkStart w:id="101"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100">
        <w:r>
          <w:rPr>
            <w:rStyle w:val="Hyperlink"/>
          </w:rPr>
          <w:t xml:space="preserve">https://news.mit.edu/2020/real-promise-synthetic-data-1016</w:t>
        </w:r>
      </w:hyperlink>
      <w:r>
        <w:t xml:space="preserve">.</w:t>
      </w:r>
    </w:p>
    <w:bookmarkEnd w:id="101"/>
    <w:bookmarkStart w:id="103"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102">
        <w:r>
          <w:rPr>
            <w:rStyle w:val="Hyperlink"/>
          </w:rPr>
          <w:t xml:space="preserve">https://doi.org/10.1037/h0054346</w:t>
        </w:r>
      </w:hyperlink>
      <w:r>
        <w:t xml:space="preserve">.</w:t>
      </w:r>
    </w:p>
    <w:bookmarkEnd w:id="103"/>
    <w:bookmarkStart w:id="105"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104">
        <w:r>
          <w:rPr>
            <w:rStyle w:val="Hyperlink"/>
          </w:rPr>
          <w:t xml:space="preserve">https://www.microsoft.com/en-us/microsoft-365</w:t>
        </w:r>
      </w:hyperlink>
      <w:r>
        <w:t xml:space="preserve">.</w:t>
      </w:r>
    </w:p>
    <w:bookmarkEnd w:id="105"/>
    <w:bookmarkStart w:id="107"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106">
        <w:r>
          <w:rPr>
            <w:rStyle w:val="Hyperlink"/>
          </w:rPr>
          <w:t xml:space="preserve">https://hackernoon.com/the-ai-hierarchy-of-needs-18f111fcc007</w:t>
        </w:r>
      </w:hyperlink>
      <w:r>
        <w:t xml:space="preserve">.</w:t>
      </w:r>
    </w:p>
    <w:bookmarkEnd w:id="107"/>
    <w:bookmarkStart w:id="109"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108">
        <w:r>
          <w:rPr>
            <w:rStyle w:val="Hyperlink"/>
          </w:rPr>
          <w:t xml:space="preserve">https://www.af.mil/News/Article-Display/Article/1987254/chief-data-office-announces-capabilities-for-the-vault-data-platform</w:t>
        </w:r>
      </w:hyperlink>
      <w:r>
        <w:t xml:space="preserve">.</w:t>
      </w:r>
    </w:p>
    <w:bookmarkEnd w:id="109"/>
    <w:bookmarkStart w:id="111" w:name="X955a3c83993c601e5ff5a4dab2b9a0cc843d8af"/>
    <w:p>
      <w:pPr>
        <w:pStyle w:val="Bibliography"/>
      </w:pPr>
      <w:r>
        <w:t xml:space="preserve">Taylor, David. 2016.</w:t>
      </w:r>
      <w:r>
        <w:t xml:space="preserve"> </w:t>
      </w:r>
      <w:r>
        <w:t xml:space="preserve">“Battle of Data Science Venn Diagrams.”</w:t>
      </w:r>
      <w:r>
        <w:t xml:space="preserve"> </w:t>
      </w:r>
      <w:r>
        <w:t xml:space="preserve">Blog.</w:t>
      </w:r>
      <w:r>
        <w:t xml:space="preserve"> </w:t>
      </w:r>
      <w:r>
        <w:rPr>
          <w:iCs/>
          <w:i/>
        </w:rPr>
        <w:t xml:space="preserve">ProoFFreader</w:t>
      </w:r>
      <w:r>
        <w:t xml:space="preserve"> </w:t>
      </w:r>
      <w:r>
        <w:t xml:space="preserve">(blog). September 12, 2016.</w:t>
      </w:r>
      <w:r>
        <w:t xml:space="preserve"> </w:t>
      </w:r>
      <w:hyperlink r:id="rId110">
        <w:r>
          <w:rPr>
            <w:rStyle w:val="Hyperlink"/>
          </w:rPr>
          <w:t xml:space="preserve">https://www.prooffreader.com/2016/09/battle-of-data-science-venn-diagrams.html</w:t>
        </w:r>
      </w:hyperlink>
      <w:r>
        <w:t xml:space="preserve">.</w:t>
      </w:r>
    </w:p>
    <w:bookmarkEnd w:id="111"/>
    <w:bookmarkStart w:id="113" w:name="X66d3bb662933d56eab45bc9b1be5582ddffef89"/>
    <w:p>
      <w:pPr>
        <w:pStyle w:val="Bibliography"/>
      </w:pPr>
      <w:r>
        <w:t xml:space="preserve">“Zeppelin.”</w:t>
      </w:r>
      <w:r>
        <w:t xml:space="preserve"> </w:t>
      </w:r>
      <w:r>
        <w:t xml:space="preserve">n.d. Accessed August 26, 2022.</w:t>
      </w:r>
      <w:r>
        <w:t xml:space="preserve"> </w:t>
      </w:r>
      <w:hyperlink r:id="rId112">
        <w:r>
          <w:rPr>
            <w:rStyle w:val="Hyperlink"/>
          </w:rPr>
          <w:t xml:space="preserve">https://zeppelin.apache.org/</w:t>
        </w:r>
      </w:hyperlink>
      <w:r>
        <w:t xml:space="preserve">.</w:t>
      </w:r>
    </w:p>
    <w:bookmarkEnd w:id="113"/>
    <w:bookmarkEnd w:id="114"/>
    <w:bookmarkEnd w:id="115"/>
    <w:bookmarkStart w:id="116" w:name="biography"/>
    <w:p>
      <w:pPr>
        <w:pStyle w:val="Heading1"/>
      </w:pPr>
      <w:r>
        <w:t xml:space="preserve">Biography</w:t>
      </w:r>
    </w:p>
    <w:p>
      <w:pPr>
        <w:pStyle w:val="FirstParagraph"/>
      </w:pPr>
      <w:r>
        <w:t xml:space="preserve">A brief paragraph(s) of the author(s). A photograph is highly recommended, but of course optional.</w:t>
      </w:r>
    </w:p>
    <w:bookmarkEnd w:id="116"/>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54" Target="media/rId54.png" /><Relationship Type="http://schemas.openxmlformats.org/officeDocument/2006/relationships/hyperlink" Id="rId74" Target="http://drewconway.com/zia/2013/3/26/the-data-science-venn-diagram" TargetMode="External" /><Relationship Type="http://schemas.openxmlformats.org/officeDocument/2006/relationships/hyperlink" Id="rId66" Target="https://aws.amazon.com/" TargetMode="External" /><Relationship Type="http://schemas.openxmlformats.org/officeDocument/2006/relationships/hyperlink" Id="rId70" Target="https://aws.amazon.com/s3/" TargetMode="External" /><Relationship Type="http://schemas.openxmlformats.org/officeDocument/2006/relationships/hyperlink" Id="rId68" Target="https://azure.microsoft.com/en-us/" TargetMode="External" /><Relationship Type="http://schemas.openxmlformats.org/officeDocument/2006/relationships/hyperlink" Id="rId78" Target="https://creativecommons.org/faq/#When_is_my_use_considered_an_adaptation" TargetMode="External" /><Relationship Type="http://schemas.openxmlformats.org/officeDocument/2006/relationships/hyperlink" Id="rId98" Target="https://datascience.stackexchange.com/a/2406" TargetMode="External" /><Relationship Type="http://schemas.openxmlformats.org/officeDocument/2006/relationships/hyperlink" Id="rId60" Target="https://doi.org/10.1007/978-1-4842-6228-3" TargetMode="External" /><Relationship Type="http://schemas.openxmlformats.org/officeDocument/2006/relationships/hyperlink" Id="rId102" Target="https://doi.org/10.1037/h0054346" TargetMode="External" /><Relationship Type="http://schemas.openxmlformats.org/officeDocument/2006/relationships/hyperlink" Id="rId64" Target="https://doi.org/10.1111/1740-9713.01531" TargetMode="External" /><Relationship Type="http://schemas.openxmlformats.org/officeDocument/2006/relationships/hyperlink" Id="rId90" Target="https://en.wikipedia.org/wiki/Hackathon#Etymology" TargetMode="External" /><Relationship Type="http://schemas.openxmlformats.org/officeDocument/2006/relationships/hyperlink" Id="rId94" Target="https://gethue.com/" TargetMode="External" /><Relationship Type="http://schemas.openxmlformats.org/officeDocument/2006/relationships/hyperlink" Id="rId106" Target="https://hackernoon.com/the-ai-hierarchy-of-needs-18f111fcc007" TargetMode="External" /><Relationship Type="http://schemas.openxmlformats.org/officeDocument/2006/relationships/hyperlink" Id="rId100" Target="https://news.mit.edu/2020/real-promise-synthetic-data-1016" TargetMode="External" /><Relationship Type="http://schemas.openxmlformats.org/officeDocument/2006/relationships/hyperlink" Id="rId80" Target="https://plotly.com/dash" TargetMode="External" /><Relationship Type="http://schemas.openxmlformats.org/officeDocument/2006/relationships/hyperlink" Id="rId76" Target="https://powerplatform.microsoft.com/en-us/" TargetMode="External" /><Relationship Type="http://schemas.openxmlformats.org/officeDocument/2006/relationships/hyperlink" Id="rId62" Target="https://spark.apache.org/" TargetMode="External" /><Relationship Type="http://schemas.openxmlformats.org/officeDocument/2006/relationships/hyperlink" Id="rId108" Target="https://www.af.mil/News/Article-Display/Article/1987254/chief-data-office-announces-capabilities-for-the-vault-data-platform" TargetMode="External" /><Relationship Type="http://schemas.openxmlformats.org/officeDocument/2006/relationships/hyperlink" Id="rId82" Target="https://www.aftc.af.mil/About-Us/Data-Hackathon/" TargetMode="External" /><Relationship Type="http://schemas.openxmlformats.org/officeDocument/2006/relationships/hyperlink" Id="rId72" Target="https://www.aftc.af.mil/News/Article-Display/Article/3130340/third-iteration-of-aftc-data-hackathon-an-innovation-success" TargetMode="External" /><Relationship Type="http://schemas.openxmlformats.org/officeDocument/2006/relationships/hyperlink" Id="rId84" Target="https://www.databricks.com/" TargetMode="External" /><Relationship Type="http://schemas.openxmlformats.org/officeDocument/2006/relationships/hyperlink" Id="rId92"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88" Target="https://www.linkedin.com/pulse/benefits-t-shaped-teams-sara-gorj%C3%A3o" TargetMode="External" /><Relationship Type="http://schemas.openxmlformats.org/officeDocument/2006/relationships/hyperlink" Id="rId104" Target="https://www.microsoft.com/en-us/microsoft-365" TargetMode="External" /><Relationship Type="http://schemas.openxmlformats.org/officeDocument/2006/relationships/hyperlink" Id="rId86" Target="https://www.palantir.com/platforms/foundry/" TargetMode="External" /><Relationship Type="http://schemas.openxmlformats.org/officeDocument/2006/relationships/hyperlink" Id="rId110" Target="https://www.prooffreader.com/2016/09/battle-of-data-science-venn-diagrams.html" TargetMode="External" /><Relationship Type="http://schemas.openxmlformats.org/officeDocument/2006/relationships/hyperlink" Id="rId96" Target="https://www.youtube.com/watch?v=00HftDEJ6cY" TargetMode="External" /><Relationship Type="http://schemas.openxmlformats.org/officeDocument/2006/relationships/hyperlink" Id="rId112"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74" Target="http://drewconway.com/zia/2013/3/26/the-data-science-venn-diagram" TargetMode="External" /><Relationship Type="http://schemas.openxmlformats.org/officeDocument/2006/relationships/hyperlink" Id="rId66" Target="https://aws.amazon.com/" TargetMode="External" /><Relationship Type="http://schemas.openxmlformats.org/officeDocument/2006/relationships/hyperlink" Id="rId70" Target="https://aws.amazon.com/s3/" TargetMode="External" /><Relationship Type="http://schemas.openxmlformats.org/officeDocument/2006/relationships/hyperlink" Id="rId68" Target="https://azure.microsoft.com/en-us/" TargetMode="External" /><Relationship Type="http://schemas.openxmlformats.org/officeDocument/2006/relationships/hyperlink" Id="rId78" Target="https://creativecommons.org/faq/#When_is_my_use_considered_an_adaptation" TargetMode="External" /><Relationship Type="http://schemas.openxmlformats.org/officeDocument/2006/relationships/hyperlink" Id="rId98" Target="https://datascience.stackexchange.com/a/2406" TargetMode="External" /><Relationship Type="http://schemas.openxmlformats.org/officeDocument/2006/relationships/hyperlink" Id="rId60" Target="https://doi.org/10.1007/978-1-4842-6228-3" TargetMode="External" /><Relationship Type="http://schemas.openxmlformats.org/officeDocument/2006/relationships/hyperlink" Id="rId102" Target="https://doi.org/10.1037/h0054346" TargetMode="External" /><Relationship Type="http://schemas.openxmlformats.org/officeDocument/2006/relationships/hyperlink" Id="rId64" Target="https://doi.org/10.1111/1740-9713.01531" TargetMode="External" /><Relationship Type="http://schemas.openxmlformats.org/officeDocument/2006/relationships/hyperlink" Id="rId90" Target="https://en.wikipedia.org/wiki/Hackathon#Etymology" TargetMode="External" /><Relationship Type="http://schemas.openxmlformats.org/officeDocument/2006/relationships/hyperlink" Id="rId94" Target="https://gethue.com/" TargetMode="External" /><Relationship Type="http://schemas.openxmlformats.org/officeDocument/2006/relationships/hyperlink" Id="rId106" Target="https://hackernoon.com/the-ai-hierarchy-of-needs-18f111fcc007" TargetMode="External" /><Relationship Type="http://schemas.openxmlformats.org/officeDocument/2006/relationships/hyperlink" Id="rId100" Target="https://news.mit.edu/2020/real-promise-synthetic-data-1016" TargetMode="External" /><Relationship Type="http://schemas.openxmlformats.org/officeDocument/2006/relationships/hyperlink" Id="rId80" Target="https://plotly.com/dash" TargetMode="External" /><Relationship Type="http://schemas.openxmlformats.org/officeDocument/2006/relationships/hyperlink" Id="rId76" Target="https://powerplatform.microsoft.com/en-us/" TargetMode="External" /><Relationship Type="http://schemas.openxmlformats.org/officeDocument/2006/relationships/hyperlink" Id="rId62" Target="https://spark.apache.org/" TargetMode="External" /><Relationship Type="http://schemas.openxmlformats.org/officeDocument/2006/relationships/hyperlink" Id="rId108" Target="https://www.af.mil/News/Article-Display/Article/1987254/chief-data-office-announces-capabilities-for-the-vault-data-platform" TargetMode="External" /><Relationship Type="http://schemas.openxmlformats.org/officeDocument/2006/relationships/hyperlink" Id="rId82" Target="https://www.aftc.af.mil/About-Us/Data-Hackathon/" TargetMode="External" /><Relationship Type="http://schemas.openxmlformats.org/officeDocument/2006/relationships/hyperlink" Id="rId72" Target="https://www.aftc.af.mil/News/Article-Display/Article/3130340/third-iteration-of-aftc-data-hackathon-an-innovation-success" TargetMode="External" /><Relationship Type="http://schemas.openxmlformats.org/officeDocument/2006/relationships/hyperlink" Id="rId84" Target="https://www.databricks.com/" TargetMode="External" /><Relationship Type="http://schemas.openxmlformats.org/officeDocument/2006/relationships/hyperlink" Id="rId92"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88" Target="https://www.linkedin.com/pulse/benefits-t-shaped-teams-sara-gorj%C3%A3o" TargetMode="External" /><Relationship Type="http://schemas.openxmlformats.org/officeDocument/2006/relationships/hyperlink" Id="rId104" Target="https://www.microsoft.com/en-us/microsoft-365" TargetMode="External" /><Relationship Type="http://schemas.openxmlformats.org/officeDocument/2006/relationships/hyperlink" Id="rId86" Target="https://www.palantir.com/platforms/foundry/" TargetMode="External" /><Relationship Type="http://schemas.openxmlformats.org/officeDocument/2006/relationships/hyperlink" Id="rId110" Target="https://www.prooffreader.com/2016/09/battle-of-data-science-venn-diagrams.html" TargetMode="External" /><Relationship Type="http://schemas.openxmlformats.org/officeDocument/2006/relationships/hyperlink" Id="rId96" Target="https://www.youtube.com/watch?v=00HftDEJ6cY" TargetMode="External" /><Relationship Type="http://schemas.openxmlformats.org/officeDocument/2006/relationships/hyperlink" Id="rId112"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2022-08-27T23:59:56Z</dcterms:created>
  <dcterms:modified xsi:type="dcterms:W3CDTF">2022-08-27T23:59:56Z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number-depth">
    <vt:lpwstr>2</vt:lpwstr>
  </property>
  <property fmtid="{D5CDD505-2E9C-101B-9397-08002B2CF9AE}" pid="14" name="toc-title">
    <vt:lpwstr>Table of contents</vt:lpwstr>
  </property>
</Properties>
</file>