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20" w:rsidRPr="00DF6EB1" w:rsidRDefault="00025DE4" w:rsidP="00FB7318">
      <w:pPr>
        <w:jc w:val="center"/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</w:pPr>
      <w:bookmarkStart w:id="0" w:name="_GoBack"/>
      <w:bookmarkEnd w:id="0"/>
      <w:r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>Frequently asked questions (FAQ)</w:t>
      </w:r>
      <w:r w:rsidR="00FB7318"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 xml:space="preserve"> on</w:t>
      </w:r>
      <w:r w:rsidR="004C3F24"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 xml:space="preserve"> the </w:t>
      </w:r>
      <w:r w:rsidR="00FB7318"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>R Shiny Web Application “</w:t>
      </w:r>
      <w:r w:rsidR="004C3F24"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>Safety Monitoring</w:t>
      </w:r>
      <w:r w:rsidR="00FB7318"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>”</w:t>
      </w:r>
    </w:p>
    <w:p w:rsidR="00FB7318" w:rsidRPr="00DF6EB1" w:rsidRDefault="00FB7318" w:rsidP="00FB7318">
      <w:pPr>
        <w:jc w:val="center"/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</w:pPr>
      <w:r w:rsidRPr="00DF6EB1">
        <w:rPr>
          <w:rFonts w:eastAsia="Times New Roman" w:cs="Times New Roman"/>
          <w:b/>
          <w:bCs/>
          <w:color w:val="1F497D"/>
          <w:kern w:val="32"/>
          <w:sz w:val="32"/>
          <w:szCs w:val="32"/>
          <w:lang w:eastAsia="en-US"/>
        </w:rPr>
        <w:t>http://rshiny.gilead.com/dev/safety_monitoring/</w:t>
      </w:r>
    </w:p>
    <w:p w:rsidR="00FB7318" w:rsidRPr="000C142A" w:rsidRDefault="00FB7318" w:rsidP="00FB7318">
      <w:pPr>
        <w:spacing w:after="0" w:line="240" w:lineRule="auto"/>
        <w:jc w:val="center"/>
        <w:rPr>
          <w:sz w:val="24"/>
          <w:szCs w:val="24"/>
        </w:rPr>
      </w:pPr>
      <w:r w:rsidRPr="000C142A">
        <w:rPr>
          <w:rFonts w:hint="eastAsia"/>
          <w:sz w:val="24"/>
          <w:szCs w:val="24"/>
        </w:rPr>
        <w:t>Version 1.0</w:t>
      </w:r>
    </w:p>
    <w:p w:rsidR="00C7510F" w:rsidRDefault="00CF677F" w:rsidP="00FB7318">
      <w:pPr>
        <w:spacing w:after="0" w:line="24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Date 12/07</w:t>
      </w:r>
      <w:r w:rsidR="00FB7318" w:rsidRPr="000C142A">
        <w:rPr>
          <w:rFonts w:hint="eastAsia"/>
          <w:sz w:val="24"/>
          <w:szCs w:val="24"/>
        </w:rPr>
        <w:t>/2017</w:t>
      </w:r>
    </w:p>
    <w:p w:rsidR="00FB7318" w:rsidRDefault="00FB7318" w:rsidP="00FB7318">
      <w:pPr>
        <w:spacing w:after="0" w:line="240" w:lineRule="auto"/>
        <w:rPr>
          <w:sz w:val="24"/>
          <w:szCs w:val="24"/>
        </w:rPr>
      </w:pPr>
    </w:p>
    <w:p w:rsidR="00FB7318" w:rsidRDefault="00FB7318" w:rsidP="00FB7318">
      <w:pPr>
        <w:spacing w:after="0" w:line="240" w:lineRule="auto"/>
      </w:pPr>
    </w:p>
    <w:p w:rsidR="007769C7" w:rsidRPr="00F72942" w:rsidRDefault="00EC6B5F" w:rsidP="007769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What are the required columns that must be present in the data for the tool to function properly?</w:t>
      </w:r>
      <w:r w:rsidR="0024515A" w:rsidRPr="00F72942">
        <w:rPr>
          <w:rFonts w:hint="eastAsia"/>
          <w:b/>
          <w:sz w:val="24"/>
          <w:szCs w:val="24"/>
        </w:rPr>
        <w:t xml:space="preserve"> Are there restrictions on the format property of the columns?</w:t>
      </w:r>
    </w:p>
    <w:p w:rsidR="00DA0EDF" w:rsidRPr="00F72942" w:rsidRDefault="0024515A" w:rsidP="00DA0EDF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A: </w:t>
      </w:r>
      <w:r w:rsidR="00DA0EDF" w:rsidRPr="00F72942">
        <w:rPr>
          <w:rFonts w:hint="eastAsia"/>
          <w:sz w:val="24"/>
          <w:szCs w:val="24"/>
        </w:rPr>
        <w:t>Please</w:t>
      </w:r>
      <w:r w:rsidRPr="00F72942">
        <w:rPr>
          <w:rFonts w:hint="eastAsia"/>
          <w:sz w:val="24"/>
          <w:szCs w:val="24"/>
        </w:rPr>
        <w:t xml:space="preserve"> refer to User Manual (Step 1. Prepare datasets)</w:t>
      </w:r>
    </w:p>
    <w:p w:rsidR="0024515A" w:rsidRPr="00F72942" w:rsidRDefault="0024515A" w:rsidP="00DA0EDF">
      <w:pPr>
        <w:ind w:left="360"/>
        <w:rPr>
          <w:sz w:val="24"/>
          <w:szCs w:val="24"/>
        </w:rPr>
      </w:pPr>
    </w:p>
    <w:p w:rsidR="005322A8" w:rsidRPr="00F72942" w:rsidRDefault="005322A8" w:rsidP="005322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Are there restrictions on the entries (missing or special character) in the data?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A: Entries for missing values could either be empty or </w:t>
      </w:r>
      <w:r w:rsidRPr="00F72942">
        <w:rPr>
          <w:sz w:val="24"/>
          <w:szCs w:val="24"/>
        </w:rPr>
        <w:t xml:space="preserve">NA. </w:t>
      </w:r>
      <w:proofErr w:type="gramStart"/>
      <w:r w:rsidR="008B378B" w:rsidRPr="00F72942">
        <w:rPr>
          <w:sz w:val="24"/>
          <w:szCs w:val="24"/>
        </w:rPr>
        <w:t xml:space="preserve">All other entries, such as </w:t>
      </w:r>
      <w:r w:rsidRPr="00F72942">
        <w:rPr>
          <w:rFonts w:hint="eastAsia"/>
          <w:sz w:val="24"/>
          <w:szCs w:val="24"/>
        </w:rPr>
        <w:t>special character</w:t>
      </w:r>
      <w:r w:rsidR="001021A2">
        <w:rPr>
          <w:sz w:val="24"/>
          <w:szCs w:val="24"/>
        </w:rPr>
        <w:t>s</w:t>
      </w:r>
      <w:r w:rsidRPr="00F72942">
        <w:rPr>
          <w:rFonts w:hint="eastAsia"/>
          <w:sz w:val="24"/>
          <w:szCs w:val="24"/>
        </w:rPr>
        <w:t xml:space="preserve"> (</w:t>
      </w:r>
      <w:r w:rsidR="008B378B" w:rsidRPr="00F72942">
        <w:rPr>
          <w:sz w:val="24"/>
          <w:szCs w:val="24"/>
        </w:rPr>
        <w:t>e.g.</w:t>
      </w:r>
      <w:proofErr w:type="gramEnd"/>
      <w:r w:rsidR="008B378B" w:rsidRPr="00F72942">
        <w:rPr>
          <w:sz w:val="24"/>
          <w:szCs w:val="24"/>
        </w:rPr>
        <w:t xml:space="preserve"> </w:t>
      </w:r>
      <w:r w:rsidRPr="00F72942">
        <w:rPr>
          <w:rFonts w:hint="eastAsia"/>
          <w:sz w:val="24"/>
          <w:szCs w:val="24"/>
        </w:rPr>
        <w:t xml:space="preserve">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.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 xml:space="preserve"> or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-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)</w:t>
      </w:r>
      <w:r w:rsidR="008B378B" w:rsidRPr="00F72942">
        <w:rPr>
          <w:sz w:val="24"/>
          <w:szCs w:val="24"/>
        </w:rPr>
        <w:t>, are considered as non-missing</w:t>
      </w:r>
      <w:r w:rsidRPr="00F72942">
        <w:rPr>
          <w:rFonts w:hint="eastAsia"/>
          <w:sz w:val="24"/>
          <w:szCs w:val="24"/>
        </w:rPr>
        <w:t>. Two columns do not allow missing values: TRTSDT (date of first exposure) and ASTDT (AE onset date),</w:t>
      </w:r>
      <w:r w:rsidR="008B378B" w:rsidRPr="00F72942">
        <w:rPr>
          <w:sz w:val="24"/>
          <w:szCs w:val="24"/>
        </w:rPr>
        <w:t xml:space="preserve"> and the</w:t>
      </w:r>
      <w:r w:rsidRPr="00F72942">
        <w:rPr>
          <w:rFonts w:hint="eastAsia"/>
          <w:sz w:val="24"/>
          <w:szCs w:val="24"/>
        </w:rPr>
        <w:t xml:space="preserve"> </w:t>
      </w:r>
      <w:r w:rsidR="00052548" w:rsidRPr="00F72942">
        <w:rPr>
          <w:rFonts w:hint="eastAsia"/>
          <w:sz w:val="24"/>
          <w:szCs w:val="24"/>
        </w:rPr>
        <w:t>missing values</w:t>
      </w:r>
      <w:r w:rsidRPr="00F72942">
        <w:rPr>
          <w:rFonts w:hint="eastAsia"/>
          <w:sz w:val="24"/>
          <w:szCs w:val="24"/>
        </w:rPr>
        <w:t xml:space="preserve"> must be imputed before </w:t>
      </w:r>
      <w:r w:rsidR="00052548" w:rsidRPr="00F72942">
        <w:rPr>
          <w:rFonts w:hint="eastAsia"/>
          <w:sz w:val="24"/>
          <w:szCs w:val="24"/>
        </w:rPr>
        <w:t>loading the data</w:t>
      </w:r>
      <w:r w:rsidRPr="00F72942">
        <w:rPr>
          <w:rFonts w:hint="eastAsia"/>
          <w:sz w:val="24"/>
          <w:szCs w:val="24"/>
        </w:rPr>
        <w:t xml:space="preserve"> to the tool.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</w:p>
    <w:p w:rsidR="00DA0EDF" w:rsidRPr="00F72942" w:rsidRDefault="00DA0EDF" w:rsidP="007769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Do I still need to upload naming file</w:t>
      </w:r>
      <w:r w:rsidR="0024515A" w:rsidRPr="00F72942">
        <w:rPr>
          <w:rFonts w:hint="eastAsia"/>
          <w:b/>
          <w:sz w:val="24"/>
          <w:szCs w:val="24"/>
        </w:rPr>
        <w:t>s</w:t>
      </w:r>
      <w:r w:rsidRPr="00F72942">
        <w:rPr>
          <w:rFonts w:hint="eastAsia"/>
          <w:b/>
          <w:sz w:val="24"/>
          <w:szCs w:val="24"/>
        </w:rPr>
        <w:t xml:space="preserve"> if I</w:t>
      </w:r>
      <w:r w:rsidRPr="00F72942">
        <w:rPr>
          <w:b/>
          <w:sz w:val="24"/>
          <w:szCs w:val="24"/>
        </w:rPr>
        <w:t>’</w:t>
      </w:r>
      <w:r w:rsidRPr="00F72942">
        <w:rPr>
          <w:rFonts w:hint="eastAsia"/>
          <w:b/>
          <w:sz w:val="24"/>
          <w:szCs w:val="24"/>
        </w:rPr>
        <w:t>m just going to use</w:t>
      </w:r>
      <w:r w:rsidR="0024515A" w:rsidRPr="00F72942">
        <w:rPr>
          <w:rFonts w:hint="eastAsia"/>
          <w:b/>
          <w:sz w:val="24"/>
          <w:szCs w:val="24"/>
        </w:rPr>
        <w:t xml:space="preserve"> the same ones</w:t>
      </w:r>
      <w:r w:rsidRPr="00F72942">
        <w:rPr>
          <w:rFonts w:hint="eastAsia"/>
          <w:b/>
          <w:sz w:val="24"/>
          <w:szCs w:val="24"/>
        </w:rPr>
        <w:t xml:space="preserve"> as in the </w:t>
      </w:r>
      <w:r w:rsidR="005322A8" w:rsidRPr="00F72942">
        <w:rPr>
          <w:b/>
          <w:sz w:val="24"/>
          <w:szCs w:val="24"/>
        </w:rPr>
        <w:t>template?</w:t>
      </w:r>
    </w:p>
    <w:p w:rsidR="004C3F24" w:rsidRPr="00F72942" w:rsidRDefault="0024515A" w:rsidP="0024515A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A: </w:t>
      </w:r>
      <w:r w:rsidR="00DA0EDF" w:rsidRPr="00F72942">
        <w:rPr>
          <w:rFonts w:hint="eastAsia"/>
          <w:sz w:val="24"/>
          <w:szCs w:val="24"/>
        </w:rPr>
        <w:t>Yes</w:t>
      </w:r>
      <w:r w:rsidRPr="00F72942">
        <w:rPr>
          <w:rFonts w:hint="eastAsia"/>
          <w:sz w:val="24"/>
          <w:szCs w:val="24"/>
        </w:rPr>
        <w:t xml:space="preserve">. Please download both naming files by clicking the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Need template?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 xml:space="preserve"> hyperlink next to ADSL and ADAE naming files </w:t>
      </w:r>
      <w:r w:rsidR="00052548" w:rsidRPr="00F72942">
        <w:rPr>
          <w:rFonts w:hint="eastAsia"/>
          <w:sz w:val="24"/>
          <w:szCs w:val="24"/>
        </w:rPr>
        <w:t xml:space="preserve">import widget </w:t>
      </w:r>
      <w:r w:rsidRPr="00F72942">
        <w:rPr>
          <w:rFonts w:hint="eastAsia"/>
          <w:sz w:val="24"/>
          <w:szCs w:val="24"/>
        </w:rPr>
        <w:t xml:space="preserve">and </w:t>
      </w:r>
      <w:r w:rsidR="00C7510F" w:rsidRPr="00F72942">
        <w:rPr>
          <w:rFonts w:hint="eastAsia"/>
          <w:sz w:val="24"/>
          <w:szCs w:val="24"/>
        </w:rPr>
        <w:t xml:space="preserve">then </w:t>
      </w:r>
      <w:r w:rsidRPr="00F72942">
        <w:rPr>
          <w:rFonts w:hint="eastAsia"/>
          <w:sz w:val="24"/>
          <w:szCs w:val="24"/>
        </w:rPr>
        <w:t xml:space="preserve">upload them to the tool by clicking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Browse</w:t>
      </w:r>
      <w:r w:rsidRPr="00F72942">
        <w:rPr>
          <w:sz w:val="24"/>
          <w:szCs w:val="24"/>
        </w:rPr>
        <w:t>’</w:t>
      </w:r>
      <w:r w:rsidR="00C7510F" w:rsidRPr="00F72942">
        <w:rPr>
          <w:rFonts w:hint="eastAsia"/>
          <w:sz w:val="24"/>
          <w:szCs w:val="24"/>
        </w:rPr>
        <w:t xml:space="preserve"> corresponding to each file import widget</w:t>
      </w:r>
      <w:r w:rsidRPr="00F72942">
        <w:rPr>
          <w:rFonts w:hint="eastAsia"/>
          <w:sz w:val="24"/>
          <w:szCs w:val="24"/>
        </w:rPr>
        <w:t>.</w:t>
      </w:r>
    </w:p>
    <w:p w:rsidR="0024515A" w:rsidRPr="00F72942" w:rsidRDefault="0024515A" w:rsidP="0024515A">
      <w:pPr>
        <w:ind w:left="360"/>
        <w:rPr>
          <w:sz w:val="24"/>
          <w:szCs w:val="24"/>
        </w:rPr>
      </w:pPr>
    </w:p>
    <w:p w:rsidR="004C3F24" w:rsidRPr="00F72942" w:rsidRDefault="00EC6B5F" w:rsidP="004C3F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 xml:space="preserve">How </w:t>
      </w:r>
      <w:r w:rsidR="00DF6EB1" w:rsidRPr="00F72942">
        <w:rPr>
          <w:rFonts w:hint="eastAsia"/>
          <w:b/>
          <w:sz w:val="24"/>
          <w:szCs w:val="24"/>
        </w:rPr>
        <w:t>is</w:t>
      </w:r>
      <w:r w:rsidRPr="00F72942">
        <w:rPr>
          <w:rFonts w:hint="eastAsia"/>
          <w:b/>
          <w:sz w:val="24"/>
          <w:szCs w:val="24"/>
        </w:rPr>
        <w:t xml:space="preserve"> TEAE filter</w:t>
      </w:r>
      <w:r w:rsidR="00DF6EB1" w:rsidRPr="00F72942">
        <w:rPr>
          <w:rFonts w:hint="eastAsia"/>
          <w:b/>
          <w:sz w:val="24"/>
          <w:szCs w:val="24"/>
        </w:rPr>
        <w:t xml:space="preserve"> applied to the data</w:t>
      </w:r>
      <w:r w:rsidRPr="00F72942">
        <w:rPr>
          <w:rFonts w:hint="eastAsia"/>
          <w:b/>
          <w:sz w:val="24"/>
          <w:szCs w:val="24"/>
        </w:rPr>
        <w:t>?</w:t>
      </w:r>
    </w:p>
    <w:p w:rsidR="004C3F24" w:rsidRPr="00F72942" w:rsidRDefault="005322A8" w:rsidP="004C3F24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A:</w:t>
      </w:r>
      <w:r w:rsidR="00DF6EB1" w:rsidRPr="00F72942">
        <w:rPr>
          <w:rFonts w:hint="eastAsia"/>
          <w:sz w:val="24"/>
          <w:szCs w:val="24"/>
        </w:rPr>
        <w:t xml:space="preserve"> The TEAE checkbox only filters the ADAE data based on </w:t>
      </w:r>
      <w:r w:rsidR="00DF6EB1" w:rsidRPr="00F72942">
        <w:rPr>
          <w:sz w:val="24"/>
          <w:szCs w:val="24"/>
        </w:rPr>
        <w:t>‘</w:t>
      </w:r>
      <w:r w:rsidR="00DF6EB1" w:rsidRPr="00F72942">
        <w:rPr>
          <w:sz w:val="24"/>
        </w:rPr>
        <w:t>TRTEMFL</w:t>
      </w:r>
      <w:r w:rsidR="00DF6EB1" w:rsidRPr="00F72942">
        <w:rPr>
          <w:sz w:val="24"/>
          <w:szCs w:val="24"/>
        </w:rPr>
        <w:t>’</w:t>
      </w:r>
      <w:r w:rsidR="00DF6EB1" w:rsidRPr="00F72942">
        <w:rPr>
          <w:rFonts w:hint="eastAsia"/>
          <w:sz w:val="24"/>
          <w:szCs w:val="24"/>
        </w:rPr>
        <w:t xml:space="preserve"> column. After ADAE data are imported, user could click the TEAE checkbox to only keep entries with </w:t>
      </w:r>
      <w:r w:rsidR="00DF6EB1" w:rsidRPr="00F72942">
        <w:rPr>
          <w:sz w:val="24"/>
          <w:szCs w:val="24"/>
        </w:rPr>
        <w:t>‘</w:t>
      </w:r>
      <w:r w:rsidR="00DF6EB1" w:rsidRPr="00F72942">
        <w:rPr>
          <w:sz w:val="24"/>
        </w:rPr>
        <w:t>TRTEMFL</w:t>
      </w:r>
      <w:r w:rsidR="00DF6EB1" w:rsidRPr="00F72942">
        <w:rPr>
          <w:sz w:val="24"/>
          <w:szCs w:val="24"/>
        </w:rPr>
        <w:t>’</w:t>
      </w:r>
      <w:r w:rsidR="00DF6EB1" w:rsidRPr="00F72942">
        <w:rPr>
          <w:rFonts w:hint="eastAsia"/>
          <w:sz w:val="24"/>
          <w:szCs w:val="24"/>
        </w:rPr>
        <w:t xml:space="preserve"> equals to </w:t>
      </w:r>
      <w:r w:rsidR="00DF6EB1" w:rsidRPr="00F72942">
        <w:rPr>
          <w:sz w:val="24"/>
          <w:szCs w:val="24"/>
        </w:rPr>
        <w:t>‘</w:t>
      </w:r>
      <w:r w:rsidR="00DF6EB1" w:rsidRPr="00F72942">
        <w:rPr>
          <w:rFonts w:hint="eastAsia"/>
          <w:sz w:val="24"/>
          <w:szCs w:val="24"/>
        </w:rPr>
        <w:t>Y</w:t>
      </w:r>
      <w:r w:rsidR="00DF6EB1" w:rsidRPr="00F72942">
        <w:rPr>
          <w:sz w:val="24"/>
          <w:szCs w:val="24"/>
        </w:rPr>
        <w:t>’</w:t>
      </w:r>
      <w:r w:rsidR="00DF6EB1" w:rsidRPr="00F72942">
        <w:rPr>
          <w:rFonts w:hint="eastAsia"/>
          <w:sz w:val="24"/>
          <w:szCs w:val="24"/>
        </w:rPr>
        <w:t xml:space="preserve">. </w:t>
      </w:r>
      <w:r w:rsidR="00DF6EB1" w:rsidRPr="00E57E56">
        <w:rPr>
          <w:rFonts w:hint="eastAsia"/>
          <w:sz w:val="24"/>
          <w:szCs w:val="24"/>
        </w:rPr>
        <w:t xml:space="preserve">Note that if the </w:t>
      </w:r>
      <w:r w:rsidR="00EC727B" w:rsidRPr="00E57E56">
        <w:rPr>
          <w:sz w:val="24"/>
          <w:szCs w:val="24"/>
        </w:rPr>
        <w:t xml:space="preserve">checkbox is </w:t>
      </w:r>
      <w:proofErr w:type="gramStart"/>
      <w:r w:rsidR="00EC727B" w:rsidRPr="00E57E56">
        <w:rPr>
          <w:rFonts w:hint="eastAsia"/>
          <w:sz w:val="24"/>
          <w:szCs w:val="24"/>
        </w:rPr>
        <w:t>check</w:t>
      </w:r>
      <w:r w:rsidR="00EC727B" w:rsidRPr="00E57E56">
        <w:rPr>
          <w:sz w:val="24"/>
          <w:szCs w:val="24"/>
        </w:rPr>
        <w:t>ed</w:t>
      </w:r>
      <w:r w:rsidR="0068056D" w:rsidRPr="00E57E56">
        <w:rPr>
          <w:rFonts w:hint="eastAsia"/>
          <w:sz w:val="24"/>
          <w:szCs w:val="24"/>
        </w:rPr>
        <w:t>/</w:t>
      </w:r>
      <w:r w:rsidR="00EC727B" w:rsidRPr="00E57E56">
        <w:rPr>
          <w:rFonts w:hint="eastAsia"/>
          <w:sz w:val="24"/>
          <w:szCs w:val="24"/>
        </w:rPr>
        <w:t>uncheck</w:t>
      </w:r>
      <w:r w:rsidR="00EC727B" w:rsidRPr="00E57E56">
        <w:rPr>
          <w:sz w:val="24"/>
          <w:szCs w:val="24"/>
        </w:rPr>
        <w:t>ed</w:t>
      </w:r>
      <w:proofErr w:type="gramEnd"/>
      <w:r w:rsidR="00EC727B" w:rsidRPr="00E57E56">
        <w:rPr>
          <w:sz w:val="24"/>
          <w:szCs w:val="24"/>
        </w:rPr>
        <w:t xml:space="preserve"> </w:t>
      </w:r>
      <w:r w:rsidR="00DF6EB1" w:rsidRPr="00E57E56">
        <w:rPr>
          <w:rFonts w:hint="eastAsia"/>
          <w:sz w:val="24"/>
          <w:szCs w:val="24"/>
        </w:rPr>
        <w:t>after ADSL and ADAE are already merged</w:t>
      </w:r>
      <w:r w:rsidR="00EF1145" w:rsidRPr="00E57E56">
        <w:rPr>
          <w:sz w:val="24"/>
          <w:szCs w:val="24"/>
        </w:rPr>
        <w:t>, the ‘Merge’ button has to be pressed again to refresh the merged data in order to be used for subsequent safety analyses.</w:t>
      </w:r>
    </w:p>
    <w:p w:rsidR="005322A8" w:rsidRPr="00F72942" w:rsidRDefault="005322A8" w:rsidP="004C3F24">
      <w:pPr>
        <w:ind w:left="360"/>
        <w:rPr>
          <w:sz w:val="24"/>
          <w:szCs w:val="24"/>
        </w:rPr>
      </w:pPr>
    </w:p>
    <w:p w:rsidR="004C3F24" w:rsidRPr="00F72942" w:rsidRDefault="00FB7318" w:rsidP="004C3F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lastRenderedPageBreak/>
        <w:t>How is</w:t>
      </w:r>
      <w:r w:rsidR="00EC6B5F" w:rsidRPr="00F72942">
        <w:rPr>
          <w:rFonts w:hint="eastAsia"/>
          <w:b/>
          <w:sz w:val="24"/>
          <w:szCs w:val="24"/>
        </w:rPr>
        <w:t xml:space="preserve"> exposure time computed?</w:t>
      </w:r>
    </w:p>
    <w:p w:rsidR="00451F21" w:rsidRPr="00F72942" w:rsidRDefault="005322A8" w:rsidP="00451F21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A:</w:t>
      </w:r>
      <w:r w:rsidR="00F30629" w:rsidRPr="00F72942">
        <w:rPr>
          <w:rFonts w:hint="eastAsia"/>
          <w:sz w:val="24"/>
          <w:szCs w:val="24"/>
        </w:rPr>
        <w:t xml:space="preserve"> The exposure time is first computed on subject level, and then aggregated on AE level</w:t>
      </w:r>
      <w:r w:rsidR="008F541B" w:rsidRPr="00F72942">
        <w:rPr>
          <w:sz w:val="24"/>
          <w:szCs w:val="24"/>
        </w:rPr>
        <w:t xml:space="preserve"> based on the merged data, possibly TEAE checked or filtered</w:t>
      </w:r>
      <w:r w:rsidR="00F30629" w:rsidRPr="00F72942">
        <w:rPr>
          <w:rFonts w:hint="eastAsia"/>
          <w:sz w:val="24"/>
          <w:szCs w:val="24"/>
        </w:rPr>
        <w:t xml:space="preserve">. </w:t>
      </w:r>
    </w:p>
    <w:p w:rsidR="00F30629" w:rsidRPr="00F72942" w:rsidRDefault="00F30629" w:rsidP="00F30629">
      <w:pPr>
        <w:ind w:left="360"/>
        <w:rPr>
          <w:b/>
          <w:i/>
          <w:sz w:val="24"/>
          <w:szCs w:val="24"/>
          <w:u w:val="single"/>
        </w:rPr>
      </w:pPr>
      <w:r w:rsidRPr="00F72942">
        <w:rPr>
          <w:rFonts w:hint="eastAsia"/>
          <w:b/>
          <w:i/>
          <w:sz w:val="24"/>
          <w:szCs w:val="24"/>
          <w:u w:val="single"/>
        </w:rPr>
        <w:t xml:space="preserve">At subject level: </w:t>
      </w:r>
    </w:p>
    <w:p w:rsidR="00F30629" w:rsidRPr="00F72942" w:rsidRDefault="00F30629" w:rsidP="00F30629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For a specific subject, if there are multiple occurrences of the same type of AE, only the first onset after first dose will be used for computing exposure time using: </w:t>
      </w:r>
    </w:p>
    <w:p w:rsidR="00F30629" w:rsidRPr="00F72942" w:rsidRDefault="00F30629" w:rsidP="004B6679">
      <w:pPr>
        <w:ind w:left="360"/>
        <w:jc w:val="center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(AE onset date - First dose date + 1)/365.25</w:t>
      </w:r>
      <w:r w:rsidR="001939F9" w:rsidRPr="00F72942">
        <w:rPr>
          <w:rFonts w:hint="eastAsia"/>
          <w:sz w:val="24"/>
          <w:szCs w:val="24"/>
        </w:rPr>
        <w:t xml:space="preserve"> (Years)</w:t>
      </w:r>
      <w:r w:rsidRPr="00F72942">
        <w:rPr>
          <w:rFonts w:hint="eastAsia"/>
          <w:sz w:val="24"/>
          <w:szCs w:val="24"/>
        </w:rPr>
        <w:t>.</w:t>
      </w:r>
    </w:p>
    <w:p w:rsidR="00F30629" w:rsidRPr="00F72942" w:rsidRDefault="00F30629" w:rsidP="00F30629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If all occurrences for a type of AE happened prior to first dose, then exposure for this AE will be indicated by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NA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>.</w:t>
      </w:r>
    </w:p>
    <w:p w:rsidR="005322A8" w:rsidRPr="00F72942" w:rsidRDefault="00F30629" w:rsidP="00F30629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For subjects who did not experience a specific type of AE, the duration of entire drug exposure will be used for computing exposure time using the s</w:t>
      </w:r>
      <w:r w:rsidR="004B6679" w:rsidRPr="00F72942">
        <w:rPr>
          <w:rFonts w:hint="eastAsia"/>
          <w:sz w:val="24"/>
          <w:szCs w:val="24"/>
        </w:rPr>
        <w:t>horter</w:t>
      </w:r>
      <w:r w:rsidRPr="00F72942">
        <w:rPr>
          <w:rFonts w:hint="eastAsia"/>
          <w:sz w:val="24"/>
          <w:szCs w:val="24"/>
        </w:rPr>
        <w:t xml:space="preserve"> one of:</w:t>
      </w:r>
    </w:p>
    <w:p w:rsidR="00F30629" w:rsidRPr="00F72942" w:rsidRDefault="00F30629" w:rsidP="004B6679">
      <w:pPr>
        <w:ind w:left="360"/>
        <w:jc w:val="center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(Last dose date + 30 - First dose date + 1)/365.25</w:t>
      </w:r>
      <w:r w:rsidR="001939F9" w:rsidRPr="00F72942">
        <w:rPr>
          <w:rFonts w:hint="eastAsia"/>
          <w:sz w:val="24"/>
          <w:szCs w:val="24"/>
        </w:rPr>
        <w:t xml:space="preserve"> (Years)</w:t>
      </w:r>
    </w:p>
    <w:p w:rsidR="00F30629" w:rsidRPr="00F72942" w:rsidRDefault="00F30629" w:rsidP="004C3F24">
      <w:pPr>
        <w:ind w:left="360"/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OR</w:t>
      </w:r>
    </w:p>
    <w:p w:rsidR="00F30629" w:rsidRPr="00F72942" w:rsidRDefault="00F30629" w:rsidP="004B6679">
      <w:pPr>
        <w:ind w:left="360"/>
        <w:jc w:val="center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(Snapshot date </w:t>
      </w:r>
      <w:r w:rsidRPr="00F72942">
        <w:rPr>
          <w:sz w:val="24"/>
          <w:szCs w:val="24"/>
        </w:rPr>
        <w:t>–</w:t>
      </w:r>
      <w:r w:rsidRPr="00F72942">
        <w:rPr>
          <w:rFonts w:hint="eastAsia"/>
          <w:sz w:val="24"/>
          <w:szCs w:val="24"/>
        </w:rPr>
        <w:t xml:space="preserve"> First dose date + 1)/365.25</w:t>
      </w:r>
      <w:r w:rsidR="001939F9" w:rsidRPr="00F72942">
        <w:rPr>
          <w:rFonts w:hint="eastAsia"/>
          <w:sz w:val="24"/>
          <w:szCs w:val="24"/>
        </w:rPr>
        <w:t xml:space="preserve"> (Years)</w:t>
      </w:r>
      <w:r w:rsidR="004B6679" w:rsidRPr="00F72942">
        <w:rPr>
          <w:rFonts w:hint="eastAsia"/>
          <w:sz w:val="24"/>
          <w:szCs w:val="24"/>
        </w:rPr>
        <w:t>.</w:t>
      </w:r>
    </w:p>
    <w:p w:rsidR="00F30629" w:rsidRPr="00F72942" w:rsidRDefault="00F406A9" w:rsidP="004C3F24">
      <w:pPr>
        <w:ind w:left="360"/>
        <w:rPr>
          <w:b/>
          <w:i/>
          <w:sz w:val="24"/>
          <w:szCs w:val="24"/>
          <w:u w:val="single"/>
        </w:rPr>
      </w:pPr>
      <w:r w:rsidRPr="00F72942">
        <w:rPr>
          <w:rFonts w:hint="eastAsia"/>
          <w:b/>
          <w:i/>
          <w:sz w:val="24"/>
          <w:szCs w:val="24"/>
          <w:u w:val="single"/>
        </w:rPr>
        <w:t>At AE level:</w:t>
      </w:r>
    </w:p>
    <w:p w:rsidR="00F406A9" w:rsidRPr="00F72942" w:rsidRDefault="004B6679" w:rsidP="004C3F24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For a specific type of AE, in each arm, all patients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 xml:space="preserve"> exposure time will be summed</w:t>
      </w:r>
      <w:r w:rsidR="008B1A45">
        <w:rPr>
          <w:sz w:val="24"/>
          <w:szCs w:val="24"/>
        </w:rPr>
        <w:t>, where each patient’s exposure time is computed as described above</w:t>
      </w:r>
      <w:r w:rsidRPr="00F72942">
        <w:rPr>
          <w:rFonts w:hint="eastAsia"/>
          <w:sz w:val="24"/>
          <w:szCs w:val="24"/>
        </w:rPr>
        <w:t>.</w:t>
      </w:r>
    </w:p>
    <w:p w:rsidR="004B6679" w:rsidRPr="00F72942" w:rsidRDefault="004B6679" w:rsidP="004C3F24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If any patients returned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NA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 xml:space="preserve"> for subject-level exposure, the AE-level exposure for this type of AE will be left as </w:t>
      </w:r>
      <w:r w:rsidRPr="00F72942">
        <w:rPr>
          <w:sz w:val="24"/>
          <w:szCs w:val="24"/>
        </w:rPr>
        <w:t>‘</w:t>
      </w:r>
      <w:r w:rsidRPr="00F72942">
        <w:rPr>
          <w:rFonts w:hint="eastAsia"/>
          <w:sz w:val="24"/>
          <w:szCs w:val="24"/>
        </w:rPr>
        <w:t>NA</w:t>
      </w:r>
      <w:r w:rsidRPr="00F72942">
        <w:rPr>
          <w:sz w:val="24"/>
          <w:szCs w:val="24"/>
        </w:rPr>
        <w:t>’</w:t>
      </w:r>
      <w:r w:rsidRPr="00F72942">
        <w:rPr>
          <w:rFonts w:hint="eastAsia"/>
          <w:sz w:val="24"/>
          <w:szCs w:val="24"/>
        </w:rPr>
        <w:t xml:space="preserve"> (</w:t>
      </w:r>
      <w:r w:rsidRPr="00F72942">
        <w:rPr>
          <w:sz w:val="24"/>
          <w:szCs w:val="24"/>
        </w:rPr>
        <w:t>shown</w:t>
      </w:r>
      <w:r w:rsidRPr="00F72942">
        <w:rPr>
          <w:rFonts w:hint="eastAsia"/>
          <w:sz w:val="24"/>
          <w:szCs w:val="24"/>
        </w:rPr>
        <w:t xml:space="preserve"> as blank in the output table), and </w:t>
      </w:r>
      <w:r w:rsidR="001939F9" w:rsidRPr="00F72942">
        <w:rPr>
          <w:rFonts w:hint="eastAsia"/>
          <w:sz w:val="24"/>
          <w:szCs w:val="24"/>
        </w:rPr>
        <w:t>any</w:t>
      </w:r>
      <w:r w:rsidRPr="00F72942">
        <w:rPr>
          <w:rFonts w:hint="eastAsia"/>
          <w:sz w:val="24"/>
          <w:szCs w:val="24"/>
        </w:rPr>
        <w:t xml:space="preserve"> statistics involving exposure will not be computed (also blank in the output table).</w:t>
      </w:r>
    </w:p>
    <w:p w:rsidR="00F406A9" w:rsidRPr="00F72942" w:rsidRDefault="004B6679" w:rsidP="004C3F24">
      <w:pPr>
        <w:ind w:left="360"/>
        <w:rPr>
          <w:i/>
          <w:sz w:val="24"/>
          <w:szCs w:val="24"/>
          <w:u w:val="single"/>
        </w:rPr>
      </w:pPr>
      <w:r w:rsidRPr="00F72942">
        <w:rPr>
          <w:rFonts w:hint="eastAsia"/>
          <w:i/>
          <w:sz w:val="24"/>
          <w:szCs w:val="24"/>
          <w:u w:val="single"/>
        </w:rPr>
        <w:t xml:space="preserve">Note the </w:t>
      </w:r>
      <w:r w:rsidRPr="00F72942">
        <w:rPr>
          <w:i/>
          <w:sz w:val="24"/>
          <w:szCs w:val="24"/>
          <w:u w:val="single"/>
        </w:rPr>
        <w:t>‘</w:t>
      </w:r>
      <w:r w:rsidRPr="00F72942">
        <w:rPr>
          <w:rFonts w:hint="eastAsia"/>
          <w:i/>
          <w:sz w:val="24"/>
          <w:szCs w:val="24"/>
          <w:u w:val="single"/>
        </w:rPr>
        <w:t>30</w:t>
      </w:r>
      <w:r w:rsidRPr="00F72942">
        <w:rPr>
          <w:i/>
          <w:sz w:val="24"/>
          <w:szCs w:val="24"/>
          <w:u w:val="single"/>
        </w:rPr>
        <w:t>’</w:t>
      </w:r>
      <w:r w:rsidRPr="00F72942">
        <w:rPr>
          <w:rFonts w:hint="eastAsia"/>
          <w:i/>
          <w:sz w:val="24"/>
          <w:szCs w:val="24"/>
          <w:u w:val="single"/>
        </w:rPr>
        <w:t xml:space="preserve"> days</w:t>
      </w:r>
      <w:r w:rsidR="001939F9" w:rsidRPr="00F72942">
        <w:rPr>
          <w:rFonts w:hint="eastAsia"/>
          <w:i/>
          <w:sz w:val="24"/>
          <w:szCs w:val="24"/>
          <w:u w:val="single"/>
        </w:rPr>
        <w:t xml:space="preserve"> following last dose date</w:t>
      </w:r>
      <w:r w:rsidRPr="00F72942">
        <w:rPr>
          <w:rFonts w:hint="eastAsia"/>
          <w:i/>
          <w:sz w:val="24"/>
          <w:szCs w:val="24"/>
          <w:u w:val="single"/>
        </w:rPr>
        <w:t xml:space="preserve"> in the above formulas could be replaced by user entered value.</w:t>
      </w:r>
    </w:p>
    <w:p w:rsidR="004B6679" w:rsidRPr="00F72942" w:rsidRDefault="004B6679" w:rsidP="004C3F24">
      <w:pPr>
        <w:ind w:left="360"/>
        <w:rPr>
          <w:sz w:val="24"/>
          <w:szCs w:val="24"/>
        </w:rPr>
      </w:pPr>
    </w:p>
    <w:p w:rsidR="001939F9" w:rsidRPr="00F72942" w:rsidRDefault="001939F9" w:rsidP="004C3F24">
      <w:pPr>
        <w:ind w:left="360"/>
        <w:rPr>
          <w:sz w:val="24"/>
          <w:szCs w:val="24"/>
        </w:rPr>
      </w:pPr>
    </w:p>
    <w:p w:rsidR="00EC6B5F" w:rsidRPr="00F72942" w:rsidRDefault="00EC6B5F" w:rsidP="007769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How are ratio statistics calculated when there are no events in one of the groups?</w:t>
      </w:r>
    </w:p>
    <w:p w:rsidR="008F541B" w:rsidRPr="00F72942" w:rsidRDefault="005322A8" w:rsidP="008F541B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A:</w:t>
      </w:r>
      <w:r w:rsidR="001939F9" w:rsidRPr="00F72942">
        <w:rPr>
          <w:rFonts w:hint="eastAsia"/>
          <w:sz w:val="24"/>
          <w:szCs w:val="24"/>
        </w:rPr>
        <w:t xml:space="preserve"> </w:t>
      </w:r>
      <w:r w:rsidR="008F541B" w:rsidRPr="00F72942">
        <w:rPr>
          <w:sz w:val="24"/>
          <w:szCs w:val="24"/>
        </w:rPr>
        <w:t>For odds ratio, it is common practice to add 0.5 to each of the four cells when there is no event in at least one group</w:t>
      </w:r>
      <w:r w:rsidR="00F72942" w:rsidRPr="00F72942">
        <w:rPr>
          <w:sz w:val="24"/>
          <w:szCs w:val="24"/>
        </w:rPr>
        <w:t>.</w:t>
      </w:r>
    </w:p>
    <w:p w:rsidR="005322A8" w:rsidRPr="00F72942" w:rsidRDefault="008F541B" w:rsidP="00F72942">
      <w:pPr>
        <w:ind w:left="360"/>
        <w:rPr>
          <w:sz w:val="24"/>
          <w:szCs w:val="24"/>
        </w:rPr>
      </w:pPr>
      <w:r w:rsidRPr="00F72942">
        <w:rPr>
          <w:sz w:val="24"/>
          <w:szCs w:val="24"/>
        </w:rPr>
        <w:lastRenderedPageBreak/>
        <w:t xml:space="preserve">The HR is commonly estimated by the maximum partial likelihood estimator of the COX PH model. When there is no event in one group, the HR goes to zero (if 0 in TRT) or infinity (if 0 in PLC), and the corresponding confidence interval is </w:t>
      </w:r>
      <w:proofErr w:type="gramStart"/>
      <w:r w:rsidRPr="00F72942">
        <w:rPr>
          <w:sz w:val="24"/>
          <w:szCs w:val="24"/>
        </w:rPr>
        <w:t xml:space="preserve">always </w:t>
      </w:r>
      <w:proofErr w:type="gramEnd"/>
      <m:oMath>
        <m:r>
          <w:rPr>
            <w:rFonts w:ascii="Cambria Math" w:hAnsi="Cambria Math"/>
            <w:sz w:val="24"/>
            <w:szCs w:val="24"/>
          </w:rPr>
          <m:t>(0, ∞)</m:t>
        </m:r>
      </m:oMath>
      <w:r w:rsidRPr="00F72942">
        <w:rPr>
          <w:sz w:val="24"/>
          <w:szCs w:val="24"/>
        </w:rPr>
        <w:t xml:space="preserve">. Under such case, </w:t>
      </w:r>
      <w:proofErr w:type="gramStart"/>
      <w:r w:rsidRPr="00F72942">
        <w:rPr>
          <w:sz w:val="24"/>
          <w:szCs w:val="24"/>
        </w:rPr>
        <w:t>a statistical</w:t>
      </w:r>
      <w:proofErr w:type="gramEnd"/>
      <w:r w:rsidRPr="00F72942">
        <w:rPr>
          <w:sz w:val="24"/>
          <w:szCs w:val="24"/>
        </w:rPr>
        <w:t xml:space="preserve"> software can produce a number close to 0 or sufficiently large depending on their numerical computing algorithm. To minimize confusion, we will suppress the results on such HR and its confidence interval estimates and mask them with "-".</w:t>
      </w:r>
    </w:p>
    <w:p w:rsidR="00EC6B5F" w:rsidRPr="00F72942" w:rsidRDefault="00EC6B5F" w:rsidP="007769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Is there a way to order/sort the output table?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A:</w:t>
      </w:r>
      <w:r w:rsidR="00DF6EB1" w:rsidRPr="00F72942">
        <w:rPr>
          <w:rFonts w:hint="eastAsia"/>
          <w:sz w:val="24"/>
          <w:szCs w:val="24"/>
        </w:rPr>
        <w:t xml:space="preserve"> </w:t>
      </w:r>
      <w:r w:rsidR="008F541B" w:rsidRPr="00F72942">
        <w:rPr>
          <w:sz w:val="24"/>
          <w:szCs w:val="24"/>
        </w:rPr>
        <w:t>The table can be ordered according to the value of a variable by clicking on the small "arrow" on the right hand side of that variable name.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</w:p>
    <w:p w:rsidR="00EC6B5F" w:rsidRPr="00F72942" w:rsidRDefault="00EC6B5F" w:rsidP="007769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rFonts w:hint="eastAsia"/>
          <w:b/>
          <w:sz w:val="24"/>
          <w:szCs w:val="24"/>
        </w:rPr>
        <w:t>What if the legend labels are cut off in the volcano plot?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>A:</w:t>
      </w:r>
      <w:r w:rsidR="00BF5CDB" w:rsidRPr="00F72942">
        <w:rPr>
          <w:rFonts w:hint="eastAsia"/>
          <w:sz w:val="24"/>
          <w:szCs w:val="24"/>
        </w:rPr>
        <w:t xml:space="preserve"> </w:t>
      </w:r>
      <w:r w:rsidR="00BF5CDB" w:rsidRPr="00F72942">
        <w:rPr>
          <w:sz w:val="24"/>
          <w:szCs w:val="24"/>
        </w:rPr>
        <w:t xml:space="preserve">Adjusting the download height and width should help fit the legend labels within the pdf. Additionally, </w:t>
      </w:r>
      <w:r w:rsidR="00BF5CDB" w:rsidRPr="00F72942">
        <w:rPr>
          <w:rFonts w:hint="eastAsia"/>
          <w:sz w:val="24"/>
          <w:szCs w:val="24"/>
        </w:rPr>
        <w:t>please use</w:t>
      </w:r>
      <w:r w:rsidR="00BF5CDB" w:rsidRPr="00F72942">
        <w:rPr>
          <w:sz w:val="24"/>
          <w:szCs w:val="24"/>
        </w:rPr>
        <w:t xml:space="preserve"> </w:t>
      </w:r>
      <w:r w:rsidR="00BF5CDB" w:rsidRPr="00F72942">
        <w:rPr>
          <w:rFonts w:hint="eastAsia"/>
          <w:sz w:val="24"/>
          <w:szCs w:val="24"/>
        </w:rPr>
        <w:t>the</w:t>
      </w:r>
      <w:r w:rsidR="00BF5CDB" w:rsidRPr="00F72942">
        <w:rPr>
          <w:sz w:val="24"/>
          <w:szCs w:val="24"/>
        </w:rPr>
        <w:t xml:space="preserve"> slider bar for adjusting the legend label font size.</w:t>
      </w:r>
    </w:p>
    <w:p w:rsidR="005322A8" w:rsidRPr="00F72942" w:rsidRDefault="005322A8" w:rsidP="005322A8">
      <w:pPr>
        <w:ind w:left="360"/>
        <w:rPr>
          <w:sz w:val="24"/>
          <w:szCs w:val="24"/>
        </w:rPr>
      </w:pPr>
    </w:p>
    <w:p w:rsidR="00EC6B5F" w:rsidRPr="00F72942" w:rsidRDefault="00EC6B5F" w:rsidP="00EC6B5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2942">
        <w:rPr>
          <w:b/>
          <w:sz w:val="24"/>
          <w:szCs w:val="24"/>
        </w:rPr>
        <w:t xml:space="preserve">When I tried using my own data, the safety analysis always </w:t>
      </w:r>
      <w:r w:rsidR="00FB7318" w:rsidRPr="00F72942">
        <w:rPr>
          <w:rFonts w:hint="eastAsia"/>
          <w:b/>
          <w:sz w:val="24"/>
          <w:szCs w:val="24"/>
        </w:rPr>
        <w:t>returned</w:t>
      </w:r>
      <w:r w:rsidRPr="00F72942">
        <w:rPr>
          <w:b/>
          <w:sz w:val="24"/>
          <w:szCs w:val="24"/>
        </w:rPr>
        <w:t xml:space="preserve"> an error message saying ‘disconnected from server’ and the program crashed.</w:t>
      </w:r>
    </w:p>
    <w:p w:rsidR="00C7510F" w:rsidRPr="00F72942" w:rsidRDefault="005322A8" w:rsidP="00971205">
      <w:pPr>
        <w:ind w:left="360"/>
        <w:rPr>
          <w:sz w:val="24"/>
          <w:szCs w:val="24"/>
        </w:rPr>
      </w:pPr>
      <w:r w:rsidRPr="00F72942">
        <w:rPr>
          <w:rFonts w:hint="eastAsia"/>
          <w:sz w:val="24"/>
          <w:szCs w:val="24"/>
        </w:rPr>
        <w:t xml:space="preserve">A: Please first </w:t>
      </w:r>
      <w:r w:rsidR="005A0D47" w:rsidRPr="00F72942">
        <w:rPr>
          <w:sz w:val="24"/>
          <w:szCs w:val="24"/>
        </w:rPr>
        <w:t>refer to</w:t>
      </w:r>
      <w:r w:rsidR="005A0D47" w:rsidRPr="00F72942">
        <w:rPr>
          <w:rFonts w:hint="eastAsia"/>
          <w:sz w:val="24"/>
          <w:szCs w:val="24"/>
        </w:rPr>
        <w:t xml:space="preserve"> </w:t>
      </w:r>
      <w:r w:rsidRPr="00F72942">
        <w:rPr>
          <w:rFonts w:hint="eastAsia"/>
          <w:sz w:val="24"/>
          <w:szCs w:val="24"/>
        </w:rPr>
        <w:t xml:space="preserve">the above questions 1 and 2, to see if the data </w:t>
      </w:r>
      <w:r w:rsidR="00C7510F" w:rsidRPr="00F72942">
        <w:rPr>
          <w:rFonts w:hint="eastAsia"/>
          <w:sz w:val="24"/>
          <w:szCs w:val="24"/>
        </w:rPr>
        <w:t>meet</w:t>
      </w:r>
      <w:r w:rsidRPr="00F72942">
        <w:rPr>
          <w:rFonts w:hint="eastAsia"/>
          <w:sz w:val="24"/>
          <w:szCs w:val="24"/>
        </w:rPr>
        <w:t xml:space="preserve"> the format requirement and restrictions on missing values. </w:t>
      </w:r>
      <w:r w:rsidR="000F2F0F" w:rsidRPr="00F72942">
        <w:rPr>
          <w:rFonts w:hint="eastAsia"/>
          <w:sz w:val="24"/>
          <w:szCs w:val="24"/>
        </w:rPr>
        <w:t>Another</w:t>
      </w:r>
      <w:r w:rsidRPr="00F72942">
        <w:rPr>
          <w:rFonts w:hint="eastAsia"/>
          <w:sz w:val="24"/>
          <w:szCs w:val="24"/>
        </w:rPr>
        <w:t xml:space="preserve"> possible cause could be that your ADAE data contain more subjects than your ADSL data, so in the merged data, some of the subjects from ADAE do not</w:t>
      </w:r>
      <w:r w:rsidR="00C7510F" w:rsidRPr="00F72942">
        <w:rPr>
          <w:rFonts w:hint="eastAsia"/>
          <w:sz w:val="24"/>
          <w:szCs w:val="24"/>
        </w:rPr>
        <w:t xml:space="preserve"> have a first dose date (as these subjects</w:t>
      </w:r>
      <w:r w:rsidRPr="00F72942">
        <w:rPr>
          <w:rFonts w:hint="eastAsia"/>
          <w:sz w:val="24"/>
          <w:szCs w:val="24"/>
        </w:rPr>
        <w:t xml:space="preserve"> were not present in the ADSL data). This could cause errors when computing exposure time. If all these causes are ruled out, please contact the developers with your specific dataset </w:t>
      </w:r>
      <w:r w:rsidR="00C7510F" w:rsidRPr="00F72942">
        <w:rPr>
          <w:rFonts w:hint="eastAsia"/>
          <w:sz w:val="24"/>
          <w:szCs w:val="24"/>
        </w:rPr>
        <w:t>to further look into the issue.</w:t>
      </w:r>
    </w:p>
    <w:p w:rsidR="00DF6EB1" w:rsidRPr="00971205" w:rsidRDefault="006C7EF6" w:rsidP="00971205">
      <w:pPr>
        <w:ind w:left="360"/>
        <w:rPr>
          <w:i/>
          <w:sz w:val="24"/>
          <w:szCs w:val="24"/>
        </w:rPr>
      </w:pPr>
      <w:r w:rsidRPr="00F72942">
        <w:rPr>
          <w:i/>
          <w:sz w:val="24"/>
          <w:szCs w:val="24"/>
        </w:rPr>
        <w:t>Thank people who helped on beta-testing and providing valuable feedb</w:t>
      </w:r>
      <w:r w:rsidR="003E6273">
        <w:rPr>
          <w:i/>
          <w:sz w:val="24"/>
          <w:szCs w:val="24"/>
        </w:rPr>
        <w:t>acks: Wei Deng, Xiaomin Lu, Gera</w:t>
      </w:r>
      <w:r w:rsidRPr="00F72942">
        <w:rPr>
          <w:i/>
          <w:sz w:val="24"/>
          <w:szCs w:val="24"/>
        </w:rPr>
        <w:t>ld</w:t>
      </w:r>
      <w:r w:rsidR="000539A0" w:rsidRPr="00F72942">
        <w:rPr>
          <w:i/>
          <w:sz w:val="24"/>
          <w:szCs w:val="24"/>
        </w:rPr>
        <w:t xml:space="preserve"> Crans, Yongwu, Shao, Hai Liu, Peiwen Wu, </w:t>
      </w:r>
      <w:proofErr w:type="gramStart"/>
      <w:r w:rsidRPr="00F72942">
        <w:rPr>
          <w:i/>
          <w:sz w:val="24"/>
          <w:szCs w:val="24"/>
        </w:rPr>
        <w:t>Liang</w:t>
      </w:r>
      <w:proofErr w:type="gramEnd"/>
      <w:r w:rsidRPr="00F72942">
        <w:rPr>
          <w:i/>
          <w:sz w:val="24"/>
          <w:szCs w:val="24"/>
        </w:rPr>
        <w:t xml:space="preserve"> Fang. </w:t>
      </w:r>
      <w:r w:rsidR="00C7510F" w:rsidRPr="00F72942">
        <w:rPr>
          <w:rFonts w:hint="eastAsia"/>
          <w:i/>
          <w:sz w:val="24"/>
          <w:szCs w:val="24"/>
        </w:rPr>
        <w:t>For any other question, please contact the</w:t>
      </w:r>
      <w:r w:rsidR="00F72942" w:rsidRPr="00F72942">
        <w:rPr>
          <w:i/>
          <w:sz w:val="24"/>
          <w:szCs w:val="24"/>
        </w:rPr>
        <w:t xml:space="preserve"> author: Xiaomin Lu (</w:t>
      </w:r>
      <w:hyperlink r:id="rId6" w:history="1">
        <w:r w:rsidR="00F72942" w:rsidRPr="00F72942">
          <w:rPr>
            <w:rStyle w:val="Hyperlink"/>
            <w:i/>
            <w:sz w:val="24"/>
            <w:szCs w:val="24"/>
          </w:rPr>
          <w:t>Xiaomin.lu@gilead.com</w:t>
        </w:r>
      </w:hyperlink>
      <w:r w:rsidR="00F72942" w:rsidRPr="00F72942">
        <w:rPr>
          <w:i/>
          <w:sz w:val="24"/>
          <w:szCs w:val="24"/>
        </w:rPr>
        <w:t xml:space="preserve">) or </w:t>
      </w:r>
      <w:r w:rsidR="00C7510F" w:rsidRPr="00F72942">
        <w:rPr>
          <w:rFonts w:hint="eastAsia"/>
          <w:i/>
          <w:sz w:val="24"/>
          <w:szCs w:val="24"/>
        </w:rPr>
        <w:t>developers: Qinghua Song (</w:t>
      </w:r>
      <w:hyperlink r:id="rId7" w:history="1">
        <w:r w:rsidR="00C7510F" w:rsidRPr="00F72942">
          <w:rPr>
            <w:rStyle w:val="Hyperlink"/>
            <w:rFonts w:hint="eastAsia"/>
            <w:i/>
            <w:sz w:val="24"/>
            <w:szCs w:val="24"/>
          </w:rPr>
          <w:t>Qinghua.Song@gilead.com</w:t>
        </w:r>
      </w:hyperlink>
      <w:r w:rsidR="00C7510F" w:rsidRPr="00F72942">
        <w:rPr>
          <w:rFonts w:hint="eastAsia"/>
          <w:i/>
          <w:sz w:val="24"/>
          <w:szCs w:val="24"/>
        </w:rPr>
        <w:t>), Shuo Wang (</w:t>
      </w:r>
      <w:hyperlink r:id="rId8" w:history="1">
        <w:r w:rsidR="00C7510F" w:rsidRPr="00F72942">
          <w:rPr>
            <w:rStyle w:val="Hyperlink"/>
            <w:rFonts w:hint="eastAsia"/>
            <w:i/>
            <w:sz w:val="24"/>
            <w:szCs w:val="24"/>
          </w:rPr>
          <w:t>Shuo.Wang@gilead.com</w:t>
        </w:r>
      </w:hyperlink>
      <w:r w:rsidR="00C7510F" w:rsidRPr="00F72942">
        <w:rPr>
          <w:rFonts w:hint="eastAsia"/>
          <w:i/>
          <w:sz w:val="24"/>
          <w:szCs w:val="24"/>
        </w:rPr>
        <w:t>) and Feiyang Niu (</w:t>
      </w:r>
      <w:hyperlink r:id="rId9" w:history="1">
        <w:r w:rsidR="00C7510F" w:rsidRPr="00F72942">
          <w:rPr>
            <w:rStyle w:val="Hyperlink"/>
            <w:rFonts w:hint="eastAsia"/>
            <w:i/>
            <w:sz w:val="24"/>
            <w:szCs w:val="24"/>
          </w:rPr>
          <w:t>Feiyang.Niu@gilead.com</w:t>
        </w:r>
      </w:hyperlink>
      <w:r w:rsidR="00C7510F" w:rsidRPr="00DF6EB1">
        <w:rPr>
          <w:rFonts w:hint="eastAsia"/>
          <w:i/>
          <w:sz w:val="24"/>
          <w:szCs w:val="24"/>
        </w:rPr>
        <w:t>)</w:t>
      </w:r>
      <w:r w:rsidR="000F2F0F" w:rsidRPr="00DF6EB1">
        <w:rPr>
          <w:rFonts w:hint="eastAsia"/>
          <w:i/>
          <w:sz w:val="24"/>
          <w:szCs w:val="24"/>
        </w:rPr>
        <w:t xml:space="preserve"> for further discussion</w:t>
      </w:r>
      <w:r w:rsidR="00C7510F" w:rsidRPr="00DF6EB1">
        <w:rPr>
          <w:rFonts w:hint="eastAsia"/>
          <w:i/>
          <w:sz w:val="24"/>
          <w:szCs w:val="24"/>
        </w:rPr>
        <w:t>.</w:t>
      </w:r>
    </w:p>
    <w:sectPr w:rsidR="00DF6EB1" w:rsidRPr="0097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659F2"/>
    <w:multiLevelType w:val="hybridMultilevel"/>
    <w:tmpl w:val="F46A2268"/>
    <w:lvl w:ilvl="0" w:tplc="C1321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BD"/>
    <w:rsid w:val="00025DE4"/>
    <w:rsid w:val="00052548"/>
    <w:rsid w:val="000539A0"/>
    <w:rsid w:val="00091F15"/>
    <w:rsid w:val="000C6D20"/>
    <w:rsid w:val="000F2F0F"/>
    <w:rsid w:val="001021A2"/>
    <w:rsid w:val="001939F9"/>
    <w:rsid w:val="001A3C85"/>
    <w:rsid w:val="00213700"/>
    <w:rsid w:val="0023227A"/>
    <w:rsid w:val="0024515A"/>
    <w:rsid w:val="003E6273"/>
    <w:rsid w:val="00451F21"/>
    <w:rsid w:val="004862B9"/>
    <w:rsid w:val="004B6679"/>
    <w:rsid w:val="004C3F24"/>
    <w:rsid w:val="005322A8"/>
    <w:rsid w:val="005A0D47"/>
    <w:rsid w:val="005B6C3E"/>
    <w:rsid w:val="0068056D"/>
    <w:rsid w:val="006C7EF6"/>
    <w:rsid w:val="007609BD"/>
    <w:rsid w:val="007769C7"/>
    <w:rsid w:val="007E5354"/>
    <w:rsid w:val="0084497F"/>
    <w:rsid w:val="008B1A45"/>
    <w:rsid w:val="008B378B"/>
    <w:rsid w:val="008F541B"/>
    <w:rsid w:val="00971205"/>
    <w:rsid w:val="00A13137"/>
    <w:rsid w:val="00A43408"/>
    <w:rsid w:val="00BF5CDB"/>
    <w:rsid w:val="00C7510F"/>
    <w:rsid w:val="00CF677F"/>
    <w:rsid w:val="00DA0EDF"/>
    <w:rsid w:val="00DF6EB1"/>
    <w:rsid w:val="00E57E56"/>
    <w:rsid w:val="00EC6B5F"/>
    <w:rsid w:val="00EC727B"/>
    <w:rsid w:val="00EF1145"/>
    <w:rsid w:val="00F30629"/>
    <w:rsid w:val="00F406A9"/>
    <w:rsid w:val="00F72942"/>
    <w:rsid w:val="00F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1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5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3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1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5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3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o.Wang@gilead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Qinghua.Song@gile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aomin.lu@gilea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eiyang.Niu@gile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 (Contractor)</dc:creator>
  <cp:lastModifiedBy>Qinghua Song</cp:lastModifiedBy>
  <cp:revision>2</cp:revision>
  <dcterms:created xsi:type="dcterms:W3CDTF">2017-12-13T19:05:00Z</dcterms:created>
  <dcterms:modified xsi:type="dcterms:W3CDTF">2017-12-13T19:05:00Z</dcterms:modified>
</cp:coreProperties>
</file>