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4DC7"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0</wp:posOffset>
            </wp:positionV>
            <wp:extent cx="7557770" cy="10715625"/>
            <wp:effectExtent l="0" t="0" r="5080" b="9525"/>
            <wp:wrapTopAndBottom/>
            <wp:docPr id="26" name="图片 26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ov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o:spt="202" type="#_x0000_t202" style="position:absolute;left:0pt;margin-left:238.75pt;margin-top:463.25pt;height:36.25pt;width:204.95pt;z-index:251661312;v-text-anchor:middle;mso-width-relative:page;mso-height-relative:page;" filled="f" stroked="f" coordsize="21600,21600" o:gfxdata="UEsDBAoAAAAAAIdO4kAAAAAAAAAAAAAAAAAEAAAAZHJzL1BLAwQUAAAACACHTuJAeqTFVdkAAAAL AQAADwAAAGRycy9kb3ducmV2LnhtbE2PPU/DMBCGdyT+g3VIbNRJCM0HcTqAOsCCWhCsTnxNIuJz iJ22/HuOCbb7ePTec9XmbEdxxNkPjhTEqwgEUuvMQJ2Ct9ftTQ7CB01Gj45QwTd62NSXF5UujTvR Do/70AkOIV9qBX0IUymlb3u02q/chMS7g5utDtzOnTSzPnG4HWUSRWtp9UB8odcTPvTYfu4XqyB5 elkOy2Oa48e2MeP71238PJNS11dxdA8i4Dn8wfCrz+pQs1PjFjJejArSLLtjVEGRrLlgIs+zFETD k6KIQNaV/P9D/QNQSwMEFAAAAAgAh07iQDurj+I/AgAAagQAAA4AAABkcnMvZTJvRG9jLnhtbK1U zY7aMBC+V+o7WL6XhCywW0RY0UVUlVB3JVr1bByHRLI9rm1I6AO0b7CnXnrvc/EcHTvAom0Pe+jF zF++8ffNmMltqyTZCetq0Dnt91JKhOZQ1HqT08+fFm9uKHGe6YJJ0CKne+Ho7fT1q0ljxiKDCmQh LEEQ7caNyWnlvRknieOVUMz1wAiNyRKsYh5du0kKyxpEVzLJ0nSUNGALY4EL5zA675L0iGhfAghl WXMxB75VQvsO1QrJPFJyVW0cncbblqXg/r4snfBE5hSZ+nhiE7TX4UymEzbeWGaqmh+vwF5yhWec FKs1Nj1DzZlnZGvrv6BUzS04KH2Pg0o6IlERZNFPn2mzqpgRkQtK7cxZdPf/YPnH3YMldZHT7JoS zRRO/PD44/Dz9+HXd4IxFKgxbox1K4OVvn0HLa7NKe4wGHi3pVXhFxkRzKO8+7O8ovWEYzAbpdnN aEgJx9xglF5dDwNM8vS1sc6/F6BIMHJqcXxRVbZbOt+VnkpCMw2LWso4QqlJk9PR1TCNH5wzCC41 9ggcursGy7fr9khsDcUeeVnoVsMZvqix+ZI5/8As7gJSwdfi7/EoJWATOFqUVGC//Sse6nFEmKWk wd3Kqfu6ZVZQIj9oHN7b/mAQljE6g+F1ho69zKwvM3qr7gDXt4/v0vBohnovT2ZpQX3BRzULXTHF NMfeOeXenpw73+08PksuZrNYhgtomF/qleEBPAjqzGzrUdSodRCqU+eoH65gnNbxuYQdv/Rj1dNf xPQP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sQQAAFtDb250ZW50X1R5cGVzXS54bWxQSwECFAAKAAAAAACHTuJAAAAAAAAAAAAAAAAABgAAAAAA AAAAABAAAACTAwAAX3JlbHMvUEsBAhQAFAAAAAgAh07iQIoUZjzRAAAAlAEAAAsAAAAAAAAAAQAg AAAAtwMAAF9yZWxzLy5yZWxzUEsBAhQACgAAAAAAh07iQAAAAAAAAAAAAAAAAAQAAAAAAAAAAAAQ AAAAAAAAAGRycy9QSwECFAAUAAAACACHTuJAeqTFVdkAAAALAQAADwAAAAAAAAABACAAAAAiAAAA ZHJzL2Rvd25yZXYueG1sUEsBAhQAFAAAAAgAh07iQDurj+I/AgAAagQAAA4AAAAAAAAAAQAgAAAA KAEAAGRycy9lMm9Eb2MueG1sUEsFBgAAAAAGAAYAWQEAANkFAAAAAA== ">
            <v:path/>
            <v:fill on="f" focussize="0,0"/>
            <v:stroke on="f" weight="0.5pt"/>
            <v:imagedata o:title=""/>
            <o:lock v:ext="edit" aspectratio="f"/>
            <v:textbox style="mso-fit-shape-to-text:t;">
              <w:txbxContent>
                <w:p w14:paraId="602E1689"/>
              </w:txbxContent>
            </v:textbox>
          </v:shape>
        </w:pict>
      </w:r>
      <w:r>
        <w:pict>
          <v:shape id="_x0000_s1027" o:spid="_x0000_s1027" o:spt="202" type="#_x0000_t202" style="position:absolute;left:0pt;margin-left:-76.85pt;margin-top:567.15pt;height:126.05pt;width:569.9pt;z-index:251660288;v-text-anchor:middle;mso-width-relative:page;mso-height-relative:page;" filled="f" stroked="f" coordsize="21600,21600" o:gfxdata="UEsDBAoAAAAAAIdO4kAAAAAAAAAAAAAAAAAEAAAAZHJzL1BLAwQUAAAACACHTuJAEJPEIdsAAAAO AQAADwAAAGRycy9kb3ducmV2LnhtbE2PwU7DMAyG70i8Q2QkbluatZRSmu4A2gEuaAPBNW28tqJx RpNu4+0xJzja/6ffn6v12Y3iiFMYPGlQywQEUuvtQJ2Gt9fNogARoiFrRk+o4RsDrOvLi8qU1p9o i8dd7ASXUCiNhj7GQyllaHt0Jiz9AYmzvZ+ciTxOnbSTOXG5G+UqSXLpzEB8oTcHfOix/dzNTsPq 6WXez49ZgR+bxo7vX6l6nkjr6yuV3IOIeI5/MPzqszrU7NT4mWwQo4aFuklvmeVEpVkKgpm7Ilcg Gl6lRZ6BrCv5/436B1BLAwQUAAAACACHTuJA9YGJCD4CAABpBAAADgAAAGRycy9lMm9Eb2MueG1s rVTNjtMwEL4j8Q6W7zTp/1I1XZWtipAqdqWCOLuO00SyPcZ2m5QHgDfYExfuPFefg7HTdquFwx64 uOOZyTfzfTPu9LZRkuyFdRXojHY7KSVCc8grvc3o50/LNzeUOM90ziRokdGDcPR29vrVtDYT0YMS ZC4sQRDtJrXJaOm9mSSJ46VQzHXACI3BAqxiHq92m+SW1YiuZNJL01FSg82NBS6cQ++iDdITon0J IBRFxcUC+E4J7VtUKyTzSMmVlXF0FrstCsH9fVE44YnMKDL18cQiaG/CmcymbLK1zJQVP7XAXtLC M06KVRqLXqAWzDOys9VfUKriFhwUvsNBJS2RqAiy6KbPtFmXzIjIBaV25iK6+3+w/OP+wZIqz2if Es0UDvz4+OP48/fx13fSD/LUxk0wa20wzzfvoMGlOfsdOgPrprAq/CIfgnEU93ARVzSecHSOe/3x uI8hjrHuKE1v+sOAkzx9bqzz7wUoEoyMWpxeFJXtV863qeeUUE3DspIyTlBqUmd01B+m8YNLBMGl xhqBRNtssHyzaU7MNpAfkJiFdjOc4csKi6+Y8w/M4ipgw/hY/D0ehQQsAieLkhLst3/5Qz5OCKOU 1LhaGXVfd8wKSuQHjbN72x0MENbHy2A47uHFXkc21xG9U3eA29vFZ2l4NEO+l2ezsKC+4Juah6oY Yppj7Yxyb8+XO9+uPL5KLubzmIb7Z5hf6bXhATwI6sx851HUqHUQqlXnpB9uYJzW6bWEFb++x6yn f4jZH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LIEAABbQ29udGVudF9UeXBlc10ueG1sUEsBAhQACgAAAAAAh07iQAAAAAAAAAAAAAAAAAYAAAAA AAAAAAAQAAAAlAMAAF9yZWxzL1BLAQIUABQAAAAIAIdO4kCKFGY80QAAAJQBAAALAAAAAAAAAAEA IAAAALgDAABfcmVscy8ucmVsc1BLAQIUAAoAAAAAAIdO4kAAAAAAAAAAAAAAAAAEAAAAAAAAAAAA EAAAAAAAAABkcnMvUEsBAhQAFAAAAAgAh07iQBCTxCHbAAAADgEAAA8AAAAAAAAAAQAgAAAAIgAA AGRycy9kb3ducmV2LnhtbFBLAQIUABQAAAAIAIdO4kD1gYkIPgIAAGkEAAAOAAAAAAAAAAEAIAAA ACoBAABkcnMvZTJvRG9jLnhtbFBLBQYAAAAABgAGAFkBAADaBQAAAAA= ">
            <v:path/>
            <v:fill on="f" focussize="0,0"/>
            <v:stroke on="f" weight="0.5pt"/>
            <v:imagedata o:title=""/>
            <o:lock v:ext="edit" aspectratio="f"/>
            <v:textbox style="mso-fit-shape-to-text:t;">
              <w:txbxContent>
                <w:p w14:paraId="5F3D13A9">
                  <w:pPr>
                    <w:adjustRightInd w:val="0"/>
                    <w:snapToGrid w:val="0"/>
                    <w:spacing w:line="160" w:lineRule="atLeast"/>
                    <w:jc w:val="center"/>
                    <w:rPr>
                      <w:rFonts w:ascii="微软雅黑" w:hAnsi="微软雅黑" w:eastAsia="微软雅黑" w:cs="微软雅黑"/>
                      <w:b/>
                      <w:bCs/>
                      <w:color w:val="FFFFFF" w:themeColor="background1"/>
                      <w:sz w:val="124"/>
                      <w:szCs w:val="124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FFFFFF" w:themeColor="background1"/>
                      <w:sz w:val="124"/>
                      <w:szCs w:val="124"/>
                      <w14:textFill>
                        <w14:solidFill>
                          <w14:schemeClr w14:val="bg1"/>
                        </w14:solidFill>
                      </w14:textFill>
                    </w:rPr>
                    <w:t>封面文案标题</w:t>
                  </w:r>
                </w:p>
              </w:txbxContent>
            </v:textbox>
          </v:shape>
        </w:pict>
      </w:r>
    </w:p>
    <w:p w14:paraId="44359D44">
      <w:pP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57DF089A">
      <w:pPr>
        <w:jc w:val="center"/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-1189990</wp:posOffset>
            </wp:positionH>
            <wp:positionV relativeFrom="paragraph">
              <wp:posOffset>-934085</wp:posOffset>
            </wp:positionV>
            <wp:extent cx="7611110" cy="10767060"/>
            <wp:effectExtent l="0" t="0" r="8890" b="15240"/>
            <wp:wrapNone/>
            <wp:docPr id="41" name="图片 41" descr="学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9E00D">
      <w:pPr>
        <w:jc w:val="center"/>
        <w:rPr>
          <w:rFonts w:ascii="思源宋体 Heavy" w:hAnsi="思源宋体 Heavy" w:eastAsia="思源宋体 Heavy" w:cs="思源宋体 Heavy"/>
          <w:b/>
          <w:bCs/>
          <w:sz w:val="44"/>
          <w:szCs w:val="48"/>
        </w:rPr>
      </w:pPr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t>L</w:t>
      </w:r>
      <w:r>
        <w:rPr>
          <w:rFonts w:hint="eastAsia" w:ascii="思源宋体 Heavy" w:hAnsi="思源宋体 Heavy" w:eastAsia="思源宋体 Heavy" w:cs="思源宋体 Heavy"/>
          <w:b/>
          <w:bCs/>
          <w:sz w:val="44"/>
          <w:szCs w:val="48"/>
        </w:rPr>
        <w:t>INGOLAND国际学校课程学习方案</w:t>
      </w:r>
    </w:p>
    <w:p w14:paraId="6CF51FF9">
      <w:pPr>
        <w:jc w:val="center"/>
        <w:rPr>
          <w:rFonts w:ascii="思源宋体 Heavy" w:hAnsi="思源宋体 Heavy" w:eastAsia="思源宋体 Heavy" w:cs="思源宋体 Heavy"/>
          <w:b/>
          <w:bCs/>
          <w:sz w:val="16"/>
          <w:szCs w:val="18"/>
        </w:rPr>
      </w:pPr>
    </w:p>
    <w:p w14:paraId="12D877B7">
      <w:pPr>
        <w:rPr>
          <w:rFonts w:ascii="思源黑体 CN Medium" w:hAnsi="思源黑体 CN Medium" w:eastAsia="思源黑体 CN Medium" w:cs="思源黑体 CN Medium"/>
          <w:sz w:val="28"/>
          <w:szCs w:val="28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  <w:lang w:val="en-US" w:eastAsia="zh-CN"/>
        </w:rPr>
        <w:t>一</w:t>
      </w: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t>、</w:t>
      </w:r>
      <w:r>
        <w:rPr>
          <w:rFonts w:hint="eastAsia" w:ascii="思源黑体 CN Medium" w:hAnsi="思源黑体 CN Medium" w:eastAsia="思源黑体 CN Medium" w:cs="思源黑体 CN Medium"/>
          <w:sz w:val="28"/>
          <w:szCs w:val="28"/>
        </w:rPr>
        <w:t>测评介绍及升学目标分析</w:t>
      </w:r>
    </w:p>
    <w:tbl>
      <w:tblPr>
        <w:tblStyle w:val="8"/>
        <w:tblW w:w="5000" w:type="pct"/>
        <w:jc w:val="center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902"/>
      </w:tblGrid>
      <w:tr>
        <w:tc>
          <w:tcPr>
            <w:tcBorders>
              <w:top w:val="double" w:color="000000" w:sz="4" w:space="0"/>
              <w:left w:val="double" w:color="000000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Lingoland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CEFR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蓝思值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词汇量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剑桥系考试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TOEFL Junior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托福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雅思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香港DSE Band 1A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香港DSE Band 1B-1C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double" w:color="000000" w:sz="4" w:space="0"/>
            </w:tcBorders>
            <w:shd w:val="clear" w:color="auto" w:fill="4472C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n"/>
                <w:sz w:val="16"/>
                <w:rFonts w:ascii="微软雅黑" w:hAnsi="微软雅黑" w:cs="微软雅黑" w:eastAsia="微软雅黑"/>
                <w:color w:val="FFFFFF"/>
              </w:rPr>
              <w:t>香港DSE Band 2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A1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165L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Movers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G7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A2-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1100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Flyers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G8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A2+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KET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FF2CC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G9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2500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31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G10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3500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785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G11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925L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4500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860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5.5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DAE3F4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G12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B2+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865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93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6.5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900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1125L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109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7.5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1175L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15000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120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1225L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1250L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>20000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spacing w:before="40" w:after="40" w:line="280" w:lineRule="auto"/>
              <w:jc w:val="center"/>
            </w:pPr>
            <w:r>
              <w:rPr>
                <w:b w:val="off"/>
                <w:sz w:val="16"/>
                <w:rFonts w:ascii="微软雅黑" w:hAnsi="微软雅黑" w:cs="微软雅黑" w:eastAsia="微软雅黑"/>
              </w:rPr>
              <w:t/>
            </w:r>
          </w:p>
        </w:tc>
      </w:tr>
    </w:tbl>
    <w:p>
      <w:pPr>
        <w:spacing w:before="100"/>
      </w:pPr>
      <w:r>
        <w:rPr>
          <w:rFonts w:ascii="微软雅黑" w:hAnsi="微软雅黑" w:cs="微软雅黑" w:eastAsia="微软雅黑"/>
          <w:sz w:val="18"/>
          <w:b w:val="off"/>
        </w:rPr>
        <w:t>注：</w:t>
      </w:r>
      <w:r>
        <w:rPr>
          <w:rFonts w:ascii="微软雅黑" w:hAnsi="微软雅黑" w:cs="微软雅黑" w:eastAsia="微软雅黑"/>
          <w:sz w:val="18"/>
          <w:b w:val="on"/>
        </w:rPr>
        <w:t>黄色背景</w:t>
      </w:r>
      <w:r>
        <w:rPr>
          <w:rFonts w:ascii="微软雅黑" w:hAnsi="微软雅黑" w:cs="微软雅黑" w:eastAsia="微软雅黑"/>
          <w:sz w:val="18"/>
          <w:b w:val="off"/>
        </w:rPr>
        <w:t>表示所在年级；</w:t>
      </w:r>
      <w:r>
        <w:rPr>
          <w:rFonts w:ascii="微软雅黑" w:hAnsi="微软雅黑" w:cs="微软雅黑" w:eastAsia="微软雅黑"/>
          <w:sz w:val="18"/>
          <w:b w:val="on"/>
        </w:rPr>
        <w:t>蓝色背景</w:t>
      </w:r>
      <w:r>
        <w:rPr>
          <w:rFonts w:ascii="微软雅黑" w:hAnsi="微软雅黑" w:cs="微软雅黑" w:eastAsia="微软雅黑"/>
          <w:sz w:val="18"/>
          <w:b w:val="off"/>
        </w:rPr>
        <w:t>表示听说读写的水平。</w:t>
      </w:r>
    </w:p>
    <w:p w14:paraId="7B2D3F45">
      <w:pPr>
        <w:rPr>
          <w:rFonts w:ascii="思源黑体 CN Medium" w:hAnsi="思源黑体 CN Medium" w:eastAsia="思源黑体 CN Medium" w:cs="思源黑体 CN Medium"/>
          <w:u w:val="single"/>
        </w:rPr>
      </w:pPr>
    </w:p>
    <w:p w14:paraId="11E13D92">
      <w:pPr>
        <w:numPr>
          <w:ilvl w:val="0"/>
          <w:numId w:val="1"/>
        </w:numPr>
        <w:rPr>
          <w:rFonts w:hint="eastAsia" w:ascii="PingFang SC Regular" w:hAnsi="PingFang SC Regular" w:eastAsia="PingFang SC Regular" w:cs="PingFang SC Regular"/>
        </w:rPr>
      </w:pPr>
      <w:r>
        <w:rPr>
          <w:rFonts w:ascii="微软雅黑" w:hAnsi="微软雅黑" w:cs="微软雅黑" w:eastAsia="微软雅黑"/>
          <w:sz w:val="20"/>
          <w:b w:val="on"/>
        </w:rPr>
        <w:t>测评说明：</w:t>
      </w:r>
      <w:r>
        <w:rPr>
          <w:rFonts w:ascii="微软雅黑" w:hAnsi="微软雅黑" w:cs="微软雅黑" w:eastAsia="微软雅黑"/>
          <w:sz w:val="20"/>
        </w:rPr>
        <w:t>本次测评难度为KET难度。</w:t>
      </w:r>
    </w:p>
    <w:p>
      <w:pPr>
        <w:rPr>
          <w:rFonts w:hint="eastAsia" w:ascii="PingFang SC Regular" w:hAnsi="PingFang SC Regular" w:eastAsia="PingFang SC Regular" w:cs="PingFang SC Regular"/>
        </w:rPr>
      </w:pPr>
      <w:r>
        <w:rPr>
          <w:rFonts w:ascii="微软雅黑" w:hAnsi="微软雅黑" w:cs="微软雅黑" w:eastAsia="微软雅黑"/>
          <w:sz w:val="20"/>
        </w:rPr>
        <w:t>从听、说、读、写四项语言技能以及学习素养与能力方面，全面反映学员在语言知识与基础交际方面的能力水平。</w:t>
      </w:r>
    </w:p>
    <w:p>
      <w:pPr>
        <w:rPr>
          <w:rFonts w:hint="eastAsia" w:ascii="PingFang SC Regular" w:hAnsi="PingFang SC Regular" w:eastAsia="PingFang SC Regular" w:cs="PingFang SC Regular"/>
        </w:rPr>
      </w:pPr>
      <w:r>
        <w:rPr>
          <w:rFonts w:ascii="微软雅黑" w:hAnsi="微软雅黑" w:cs="微软雅黑" w:eastAsia="微软雅黑"/>
          <w:sz w:val="20"/>
        </w:rPr>
        <w:t>重点考察学员对该阶段词汇、语法知识的了解以及语言技能的运用。</w:t>
      </w:r>
    </w:p>
    <w:p>
      <w:pPr>
        <w:rPr>
          <w:rFonts w:hint="eastAsia" w:ascii="PingFang SC Regular" w:hAnsi="PingFang SC Regular" w:eastAsia="PingFang SC Regular" w:cs="PingFang SC Regular"/>
        </w:rPr>
      </w:pPr>
      <w:r>
        <w:rPr>
          <w:rFonts w:ascii="微软雅黑" w:hAnsi="微软雅黑" w:cs="微软雅黑" w:eastAsia="微软雅黑"/>
          <w:sz w:val="20"/>
        </w:rPr>
        <w:t>考核项目分为笔试和口试两部分，笔试包含听力、阅读与写作，口试由学员与测试官口头完成。</w:t>
      </w:r>
    </w:p>
    <w:p w14:paraId="175B7818">
      <w:pPr>
        <w:rPr>
          <w:rFonts w:ascii="微软雅黑" w:hAnsi="微软雅黑" w:eastAsia="微软雅黑" w:cs="微软雅黑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br w:type="page"/>
      </w:r>
    </w:p>
    <w:p w14:paraId="29D507E3">
      <w:pPr>
        <w:numPr>
          <w:ilvl w:val="0"/>
          <w:numId w:val="0"/>
        </w:numPr>
        <w:snapToGrid w:val="0"/>
        <w:spacing w:line="432" w:lineRule="auto"/>
        <w:rPr>
          <w:rFonts w:ascii="微软雅黑" w:hAnsi="微软雅黑" w:eastAsia="微软雅黑" w:cs="微软雅黑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  <w:lang w:val="en-US" w:eastAsia="zh-CN"/>
        </w:rPr>
        <w:t>二</w:t>
      </w: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t>、测评分析</w:t>
      </w: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阅读  正确率 15/30  A1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专注力: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基础生活词汇及部分学术词汇掌握不足，阅读中出现多处不认识的关键词，影响理解深度；词性和词组固定搭配的知识点较薄弱。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信息理解: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时间分配: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能在规定时间内完成。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考试技巧: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背景知识: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阅读速度: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能够在规定时间内完成整篇文章的阅读。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阅读策略（扫读，预测，跳读，推理等）: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成因分析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阅读量不足，缺乏语感</w:t>
            </w:r>
          </w:p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不熟悉常见的同义词替换考点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听力  正确率 26/30  A2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听音频填空完成得不错；但在理解性的题目中可能因为较多生词而影响题目分析。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信息理解: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理解有较大偏差，尤其是遇到生词和长句时，有较多生词不理解。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单词辨音: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时间分配: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能够在规定时间内完成。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考试策略: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语速适应: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语音现象: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语法知识（如从句的理解）: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语音变体（是否能适应口音）: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成因分析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语法结构掌握不扎实，造成长难句的理解偏差</w:t>
            </w:r>
          </w:p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没有考试策略的意识，没有提前读题，圈划关键词的习惯。</w:t>
            </w:r>
          </w:p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抓取关键信息的能力薄弱，易受干扰项影响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口语  得分 24/30  C2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压力: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太紧张。小朋友属于“淡人”，不管是思考中还是面对听不明白的问题时，都很少表现出情感上的波动，包括焦虑、压力、情绪等。从发言内容来看，小朋友还是更习惯于待在自己的“舒适圈”的。比如谈及不同的休闲娱乐方式，小朋友会更倾向于对自己熟悉的话题（cooking, reading）做出更多的阐述，而避开自己不那么熟悉话题。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发音: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没有问题，单词发音准确。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口音: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没有明显的母语口音，不会影响听者理解。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流利: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非常流利，并且能够做到一边构思、一边表达，没有长时间的“额”这种停顿的情况。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日常用于词汇量是比较不错的，能够支持自己讲述和日常生活密切相关的话题。学术类词汇由于测试中没有涉及因此没有重点考察，但总体词汇量是比同龄体制内小朋友要多的，部分用词已经达到了初中的水平。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思维能力: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错，而且思维深度远超同龄人。这一点在写作中表现得更为明显。口语交谈中，能看到小朋友对家人展现出体贴共情能力，对于一些生活话题（比如自己对休闲娱乐的看法、对生日的看法等）都有自己的见解和理由去支持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问题理解: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能够理解老师提出的不同时态的问题并作出回答。部分比较长的问题（如）第一遍会听不明白，老师用比较简单的语言拆解过后可以理解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互动和回应: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语法正确性: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时态、语态问题比较严重。首先，没有明确的时态标记，不管是现在、过去还是将来，都是I do的形式回答。其次，有系统性语法问题，比如表达现在进行时的句子，会出现She is make这样的错误表达。缺少三单标记。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突发情况应对: </w:t>
            </w:r>
            <w:r>
              <w:t xml:space="preserve">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语音、语句现象: </w:t>
            </w:r>
            <w:r>
              <w:t xml:space="preserve">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整体表达清晰，没有明显的口音带来的歧义或理解问题。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句型和语法的多样性: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写作  得分 13/30  A1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内容: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能回应题目要求，有自己的想法，表达想法强烈。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拼写: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单词拼写掌握的较好，无拼写错误。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标点符号: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不会正确地使用逗号和句号，与语法基础不扎实有关。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语法多样性: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尝试使用复合句，但还未完全掌握，如未用动名词作主语，动名词作主语谓语动词应使用单数形式。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语法正确性: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表达（清晰，简洁）: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结构（Intro-Body-Conclusion）: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写作惯例（Cohesion, Unity, Completeness）: </w:t>
            </w:r>
            <w:r>
              <w:t xml:space="preserve">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成因分析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写作偏口语化，缺乏书面语结构和学术表达意识，无法正确使用逻辑连接词</w:t>
            </w:r>
          </w:p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语法和词汇整合能力不足，影响句式完整性与表达准确性</w:t>
            </w:r>
          </w:p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可能缺乏范文输入与模仿练习，导致表达生硬且语法规则未能内化为语感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语言运用  得分 29/30  B1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词汇量: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应该掌握的高频学术及生活词汇（如）明显欠缺，影响理解与产出。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词形变化: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动词原形、三单、过去式及过去分词（如的变形）、非谓语等知识点未完全掌握，名词复数、比较级最高级的使用也有小问题。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语音与拼读: </w:t>
            </w:r>
            <w:r>
              <w:t xml:space="preserve">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基础语法概念: </w:t>
            </w:r>
            <w:r>
              <w:t xml:space="preserve">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句型结构与语法形式: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词汇识别与语法迁移: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语法意识与自我校正: </w:t>
            </w:r>
            <w:r>
              <w:t xml:space="preserve">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成因分析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词汇量有限，影响语法结构理解与句式表达</w:t>
            </w:r>
          </w:p>
          <w:p>
            <w:pPr>
              <w:spacing w:before="80" w:after="80" w:line="300" w:lineRule="exact"/>
              <w:ind w:left="200"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•  </w:t>
            </w:r>
            <w:r>
              <w:rPr>
                <w:rFonts w:ascii="微软雅黑" w:hAnsi="微软雅黑" w:cs="微软雅黑" w:eastAsia="微软雅黑"/>
                <w:sz w:val="20"/>
              </w:rPr>
              <w:t>缺乏语言运用规则意识，对词根、派生和词性变化不敏感</w:t>
            </w:r>
          </w:p>
        </w:tc>
      </w:tr>
    </w:tbl>
    <w:p>
      <w:pPr>
        <w:spacing w:after="300"/>
      </w:pPr>
    </w:p>
    <w:tbl>
      <w:tblPr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r>
        <w:tc>
          <w:tcPr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▎ 学习素养  得分 28/30  B1</w:t>
            </w:r>
          </w:p>
        </w:tc>
      </w:tr>
      <w:tr>
        <w:tc>
          <w:tcPr>
            <w:tcW w:w="1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1F3F5"/>
            <w:vAlign w:val="center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4A60BA"/>
              </w:rPr>
              <w:t>卷面分析</w:t>
            </w:r>
          </w:p>
        </w:tc>
        <w:tc>
          <w:tcPr>
            <w:tcW w:w="400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8F9FA"/>
            <w:vAlign w:val="top"/>
          </w:tcPr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思维: </w:t>
            </w:r>
            <w:r>
              <w:t xml:space="preserve">.....................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依从性: </w:t>
            </w:r>
            <w:r>
              <w:t xml:space="preserve">...................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复习习惯: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学习状态好，推测复习习惯较好，能完成老师布置的复习任务。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学习态度: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专注度总体还可以。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学习策略: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  <w:p>
            <w:pPr>
              <w:spacing w:before="0" w:after="60" w:line="300" w:lineRule="exact"/>
              <w:ind w:left="300"/>
            </w:pPr>
            <w:r>
              <w:rPr>
                <w:rFonts w:ascii="微软雅黑" w:hAnsi="微软雅黑" w:cs="微软雅黑" w:eastAsia="微软雅黑"/>
                <w:sz w:val="20"/>
              </w:rPr>
              <w:t>学习习惯比较优秀。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畏难情绪: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❗</w:t>
            </w:r>
          </w:p>
          <w:p>
            <w:pPr>
              <w:spacing w:before="120" w:after="40" w:line="280" w:lineRule="exact"/>
              <w:ind w:hanging="200"/>
            </w:pPr>
            <w:r>
              <w:rPr>
                <w:rFonts w:ascii="微软雅黑" w:hAnsi="微软雅黑" w:cs="微软雅黑" w:eastAsia="微软雅黑"/>
                <w:sz w:val="20"/>
                <w:color w:val="ED7D31"/>
              </w:rPr>
              <w:t xml:space="preserve">■  </w:t>
            </w:r>
            <w:r>
              <w:rPr>
                <w:rFonts w:ascii="微软雅黑" w:hAnsi="微软雅黑" w:cs="微软雅黑" w:eastAsia="微软雅黑"/>
                <w:sz w:val="20"/>
                <w:b w:val="on"/>
              </w:rPr>
              <w:t xml:space="preserve">笔记习惯: </w:t>
            </w:r>
            <w:r>
              <w:t xml:space="preserve">................. </w:t>
            </w:r>
            <w:r>
              <w:rPr>
                <w:rFonts w:ascii="微软雅黑" w:hAnsi="微软雅黑" w:cs="微软雅黑" w:eastAsia="微软雅黑"/>
              </w:rPr>
              <w:t>✅</w:t>
            </w:r>
          </w:p>
        </w:tc>
      </w:tr>
    </w:tbl>
    <w:p>
      <w:pPr>
        <w:spacing w:after="300"/>
      </w:pPr>
    </w:p>
    <w:p w14:paraId="1F9BE0C0">
      <w:r>
        <w:t/>
      </w:r>
    </w:p>
    <w:p w14:paraId="0A3E641D">
      <w:pPr>
        <w:keepNext w:val="0"/>
        <w:keepLines w:val="0"/>
        <w:suppressLineNumbers w:val="0"/>
        <w:spacing w:before="0" w:beforeAutospacing="0" w:after="0" w:afterAutospacing="0"/>
        <w:ind w:right="0"/>
        <w:jc w:val="left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br w:type="page"/>
      </w:r>
    </w:p>
    <w:p w14:paraId="52C00007">
      <w:pPr>
        <w:numPr>
          <w:ilvl w:val="0"/>
          <w:numId w:val="2"/>
        </w:numPr>
        <w:snapToGrid w:val="0"/>
        <w:spacing w:line="432" w:lineRule="auto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t>语言教学安排</w:t>
      </w:r>
    </w:p>
    <w:p w14:paraId="2ACDF7EB">
      <w:pPr>
        <w:numPr>
          <w:ilvl w:val="0"/>
          <w:numId w:val="1"/>
        </w:numPr>
        <w:rPr>
          <w:rFonts w:ascii="思源黑体 CN" w:hAnsi="思源黑体 CN" w:eastAsia="思源黑体 CN" w:cs="思源黑体 CN"/>
        </w:rPr>
      </w:pPr>
      <w:r>
        <w:rPr>
          <w:rFonts w:hint="eastAsia" w:ascii="思源黑体 CN" w:hAnsi="思源黑体 CN" w:eastAsia="思源黑体 CN" w:cs="思源黑体 CN"/>
        </w:rPr>
        <w:t>课时参考依据</w:t>
      </w:r>
    </w:p>
    <w:p w14:paraId="3AACB103">
      <w:pPr>
        <w:rPr>
          <w:rFonts w:ascii="宋体" w:hAnsi="宋体" w:eastAsia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bidi="ar"/>
        </w:rPr>
        <w:drawing>
          <wp:inline distT="0" distB="0" distL="114300" distR="114300">
            <wp:extent cx="5305425" cy="5808345"/>
            <wp:effectExtent l="0" t="0" r="3175" b="8255"/>
            <wp:docPr id="19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808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69AF7">
      <w:pPr>
        <w:jc w:val="left"/>
        <w:rPr>
          <w:rFonts w:ascii="思源黑体 CN" w:hAnsi="思源黑体 CN" w:eastAsia="思源黑体 CN" w:cs="思源黑体 CN"/>
          <w:sz w:val="18"/>
          <w:szCs w:val="20"/>
        </w:rPr>
      </w:pPr>
      <w:r>
        <w:rPr>
          <w:rFonts w:hint="eastAsia" w:ascii="思源黑体 CN" w:hAnsi="思源黑体 CN" w:eastAsia="思源黑体 CN" w:cs="思源黑体 CN"/>
          <w:sz w:val="18"/>
          <w:szCs w:val="20"/>
        </w:rPr>
        <w:t>来源：剑桥考试中心官方网站</w:t>
      </w:r>
      <w:r>
        <w:rPr>
          <w:rFonts w:hint="eastAsia" w:ascii="思源黑体 CN" w:hAnsi="思源黑体 CN" w:eastAsia="思源黑体 CN" w:cs="思源黑体 CN"/>
          <w:sz w:val="18"/>
          <w:szCs w:val="20"/>
        </w:rPr>
        <w:fldChar w:fldCharType="begin"/>
      </w:r>
      <w:r>
        <w:rPr>
          <w:rFonts w:hint="eastAsia" w:ascii="思源黑体 CN" w:hAnsi="思源黑体 CN" w:eastAsia="思源黑体 CN" w:cs="思源黑体 CN"/>
          <w:sz w:val="18"/>
          <w:szCs w:val="20"/>
        </w:rPr>
        <w:instrText xml:space="preserve"> HYPERLINK "https://support.cambridgeenglish.org/hc/en-gb/articles/202838506-Guided-learning-hours" </w:instrText>
      </w:r>
      <w:r>
        <w:rPr>
          <w:rFonts w:hint="eastAsia" w:ascii="思源黑体 CN" w:hAnsi="思源黑体 CN" w:eastAsia="思源黑体 CN" w:cs="思源黑体 CN"/>
          <w:sz w:val="18"/>
          <w:szCs w:val="20"/>
        </w:rPr>
        <w:fldChar w:fldCharType="separate"/>
      </w:r>
      <w:r>
        <w:rPr>
          <w:rStyle w:val="11"/>
          <w:rFonts w:hint="eastAsia" w:ascii="思源黑体 CN" w:hAnsi="思源黑体 CN" w:eastAsia="思源黑体 CN" w:cs="思源黑体 CN"/>
          <w:sz w:val="18"/>
          <w:szCs w:val="20"/>
        </w:rPr>
        <w:t>https://support.cambridgeenglish.org/hc/en-gb/articles/202838506-Guided-learning-hours</w:t>
      </w:r>
      <w:r>
        <w:rPr>
          <w:rFonts w:hint="eastAsia" w:ascii="思源黑体 CN" w:hAnsi="思源黑体 CN" w:eastAsia="思源黑体 CN" w:cs="思源黑体 CN"/>
          <w:sz w:val="18"/>
          <w:szCs w:val="20"/>
        </w:rPr>
        <w:fldChar w:fldCharType="end"/>
      </w:r>
    </w:p>
    <w:p w14:paraId="450CC359">
      <w:pPr>
        <w:widowControl w:val="0"/>
        <w:numPr>
          <w:numId w:val="0"/>
        </w:numPr>
        <w:snapToGrid w:val="0"/>
        <w:spacing w:line="432" w:lineRule="auto"/>
        <w:jc w:val="both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</w:p>
    <w:p w14:paraId="654DD288">
      <w:pPr>
        <w:widowControl w:val="0"/>
        <w:numPr>
          <w:numId w:val="0"/>
        </w:numPr>
        <w:snapToGrid w:val="0"/>
        <w:spacing w:line="432" w:lineRule="auto"/>
        <w:jc w:val="both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</w:p>
    <w:p>
      <w:pPr>
        <w:pStyle w:val="2"/>
        <w:spacing w:before="360" w:after="100"/>
      </w:pPr>
      <w:r>
        <w:rPr>
          <w:rFonts w:ascii="微软雅黑" w:hAnsi="微软雅黑" w:cs="微软雅黑" w:eastAsia="微软雅黑"/>
          <w:sz w:val="24"/>
          <w:b w:val="on"/>
        </w:rPr>
        <w:t>课时规划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阶段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时长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目标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教材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预计课时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基础课程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1.5h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NEF-I, NEF-PI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NEF-I: 34h</w:t>
              <w:cr/>
              <w:t>NEF-PI: 68h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应试培训+面试辅导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1.5h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NEF-E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NEF-E: 46.5h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预计总课时</w:t>
            </w:r>
          </w:p>
        </w:tc>
        <w:tc>
          <w:tcPr>
            <w:hMerge w:val="restart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E9EDF6"/>
          </w:tcPr>
          <w:p>
            <w:pPr>
              <w:spacing w:before="60" w:after="60" w:line="280" w:lineRule="auto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基础课程: 102h</w:t>
              <w:cr/>
              <w:t>应试培训+面试辅导: 46.5h</w:t>
            </w:r>
          </w:p>
        </w:tc>
        <w:tc>
          <w:tcPr>
            <w:hMerge w:val="continue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</w:tcPr>
          <w:p/>
        </w:tc>
        <w:tc>
          <w:tcPr>
            <w:hMerge w:val="continue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</w:tcPr>
          <w:p/>
        </w:tc>
        <w:tc>
          <w:tcPr>
            <w:hMerge w:val="continue"/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</w:tcPr>
          <w:p/>
        </w:tc>
      </w:tr>
    </w:tbl>
    <w:p>
      <w:pPr>
        <w:spacing w:after="100"/>
      </w:pPr>
    </w:p>
    <w:p>
      <w:pPr>
        <w:pStyle w:val="2"/>
        <w:spacing w:before="360" w:after="100"/>
      </w:pPr>
      <w:r>
        <w:rPr>
          <w:rFonts w:ascii="微软雅黑" w:hAnsi="微软雅黑" w:cs="微软雅黑" w:eastAsia="微软雅黑"/>
          <w:sz w:val="24"/>
          <w:b w:val="on"/>
        </w:rPr>
        <w:t>教材简介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【NEF 系列】：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New English File (NEF)：牛津大学出版社出版的生活英语教材。活动丰富，趣味性强。内含系统性的听说读写练习，以及系统性教授词汇语法。适合有一定基础的基础学习者。能够帮助学生熟悉入学考试中的面试口语话题，书信和故事写作，以及笔试中的生活英语文本。</w:t>
      </w:r>
    </w:p>
    <w:p>
      <w:pPr>
        <w:pStyle w:val="2"/>
        <w:spacing w:before="360" w:after="100"/>
      </w:pPr>
      <w:r>
        <w:rPr>
          <w:rFonts w:ascii="微软雅黑" w:hAnsi="微软雅黑" w:cs="微软雅黑" w:eastAsia="微软雅黑"/>
          <w:sz w:val="24"/>
          <w:b w:val="on"/>
        </w:rPr>
        <w:t>师资简介</w:t>
      </w:r>
    </w:p>
    <w:p>
      <w:pPr>
        <w:spacing w:before="150" w:after="60"/>
        <w:ind w:left="300"/>
      </w:pPr>
      <w:r>
        <w:rPr>
          <w:rFonts w:ascii="微软雅黑" w:hAnsi="微软雅黑" w:cs="微软雅黑" w:eastAsia="微软雅黑"/>
          <w:sz w:val="20"/>
          <w:b w:val="on"/>
        </w:rPr>
        <w:t>A级别老师/储备老师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1.专业背景：海外QS TOP10院校相关英语，二语习得，教育学或TESOL专业硕士。具备师范类专业背景，或211/985学校本科学历。具备教师资质（教师资格证，CELTA等）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2.教龄：1-2年</w:t>
      </w:r>
    </w:p>
    <w:p>
      <w:pPr>
        <w:spacing w:before="150" w:after="60"/>
        <w:ind w:left="300"/>
      </w:pPr>
      <w:r>
        <w:rPr>
          <w:rFonts w:ascii="微软雅黑" w:hAnsi="微软雅黑" w:cs="微软雅黑" w:eastAsia="微软雅黑"/>
          <w:sz w:val="20"/>
          <w:b w:val="on"/>
        </w:rPr>
        <w:t>AA级别老师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1.专业背景：海外QS TOP10院校相关英语，二语习得，教育学或TESOL专业硕士。具备师范类专业背景，或211/985学校本科学历。具备教师资质（教师资格证，CELTA等）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2. 教龄：3年及以上国际课程授课经验，擅长基础英语教学</w:t>
      </w:r>
    </w:p>
    <w:p>
      <w:pPr>
        <w:spacing w:before="150" w:after="60"/>
        <w:ind w:left="300"/>
      </w:pPr>
      <w:r>
        <w:rPr>
          <w:rFonts w:ascii="微软雅黑" w:hAnsi="微软雅黑" w:cs="微软雅黑" w:eastAsia="微软雅黑"/>
          <w:sz w:val="20"/>
          <w:b w:val="on"/>
        </w:rPr>
        <w:t>AAA级别老师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1.专业背景：海外QS TOP10院校相关英语，二语习得，教育学或TESOL专业硕士。具备师范类专业背景，或211/985学校本科学历。具备教师资质（教师资格证，CELTA等）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2. 教龄：8年及以上国际课程授课经验，具备丰富的国际学校入学备考经验，陪伴超过50名学生顺利拿到国际高中入学考试offer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教学思路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1. 强化语言基础：语法和词汇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由于学生目前处于A2水平，主要问题在于语法和词汇，因此在教学中要优先提升这两个方面，逐步提高她的基础语言能力。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语法：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重点强化基本句型结构：帮助学生掌握常见的句型结构。包括：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一般现在时、一般过去时和将来时的基本用法，纠正类似“am like; will lost”的错误，确保她理解时态和动词变化的规律。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逐步引入时态变化：帮助学生理解时态的变化，尤其是一般过去时和过去进行时的辨析。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主谓一致：确保学生在写作和口语中能够正确使用主谓一致（例如，he likes; she doesn't like）。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逐步引入从句结构和非谓语结构：介绍简单的定语从句、宾语从句和时间状语从句，并帮助学生通过简单句到复合句的过渡，提升表达的复杂度。学习非谓语的三种形式，动名词、不定式、分词，在写作和口语中能正确使用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句型练习和纠正：通过大量的语法练习和句型转换练习，确保学生在具体语境中能正确使用语法规则。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词汇：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词汇积累：从日常生活中常见的主题入手，帮助学生积累基础词汇（如家庭、学校、日常活动等）。可以通过词汇卡片或词汇本来帮助学生记忆。安排PET词汇表打卡，扩大词汇量。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词汇的上下文运用：让学生通过造句练习来加深对新词汇的理解和运用。比如，每学习一个新词，要求学生在句子中使用这个词。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高频词汇和短语：重点教授英语中常见的高频词汇和日常短语，以便学生在日常对话中能更流利地表达。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2. 重点强化写作能力，坚固口语能力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学生的口语写作能力可能会受到语法和词汇的限制，因此需要加强写作训练，尤其是在句子结构和语法准确性方面。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简短写作练习：从简单的日记写作或短文写作开始，逐步提高学生组织语言的能力。每次练习后，注重语法的修改和改进，帮助学生逐步提高句子的结构。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句型变换与语法运用：通过句型变换练习帮助学生在写作中灵活运用不同的语法结构。每次练习时，指导学生如何在写作中使用并列句、复合句等来表达更复杂的想法。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3. 提升综合能力和自主学习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在提高语言能力的基础上，帮助学生提高自主学习的能力和综合思维，特别是在面对新知识点时要学会主动思考和应用。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学习策略：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自我纠错：帮助学生培养自我纠错的能力，例如在写作或口语练习后，要求学生自己检查并改正错误。这不仅能帮助她提高语言的准确性，也能培养她的自主学习能力。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思维导图：在学习语法或词汇时，使用思维导图等方式帮助学生整理知识点，帮助她将知识体系化，提高举一反三的能力。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问题解决：通过模拟综合性问题（例如阅读理解后的写作或口语任务），帮助学生理解如何将不同的语言点结合起来应用。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4. 教学方法与任务安排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作业和自主学习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每日词汇和语法复习：每天学习20-25个新单词，并结合语法结构进行使用。通过词汇卡片、写作练习或语法填空题来帮助学生巩固记忆。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每周写作与口语任务：每周安排一次写作任务，并要求学生准备一个小型的口语演讲，确保学生能在两者中灵活运用所学内容。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5. 逐步引入学术英语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为了充分准备入学考试，需要逐步提升学术英语能力：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分阶段引入学术内容：可以从学生感兴趣的话题入手，例如科技、文化、旅游等，引入一些简单的学术文章，做一些基本的阅读理解练习。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学习学术词汇：每周学习一些学术领域常见的词汇和句型，并通过课后练习帮助学生理解和应用。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6. 作业设计与反馈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考虑到学习任务比较重，设计作业时：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分阶段的小任务：将大的作业任务分成小的阶段性任务。例如，每天做10-15分钟的单词学习，每周做一次短篇写作练习。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及时反馈：每次作业或练习后，给予及时反馈，肯定学生的进步，指出改进的地方，避免让学生产生挫败感。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7. 培养自主学习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逐步培养她的自主学习能力：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定期自我评估：让学生定期评估自己的学习进度和感受，并设定下阶段的学习目标。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利用英语学习APP：鼓励学生使用一些英语学习软件（如Quizlet等）进行词汇和语法的自主学习，增加学习的趣味性。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8. 家长沟通与配合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家长的支持和配合对学生的学习也很重要。本阶段需要和家长保持定期沟通，了解学生在家里的学习情况，鼓励家长为学生创造一个英语学习的环境。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9. 课程调整与灵活性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由于本方案为备考方案，需要课程中有一定的灵活性。根据学生的反馈和进展，调整教学内容和方法，确保教学进程既不太快也不太慢，给学生留出足够的时间去消化和理解。</w:t>
      </w:r>
    </w:p>
    <w:p>
      <w:pPr>
        <w:pStyle w:val="2"/>
        <w:spacing w:before="360" w:after="100"/>
      </w:pPr>
      <w:r>
        <w:rPr>
          <w:rFonts w:ascii="微软雅黑" w:hAnsi="微软雅黑" w:cs="微软雅黑" w:eastAsia="微软雅黑"/>
          <w:sz w:val="24"/>
          <w:b w:val="on"/>
        </w:rPr>
        <w:t>教学计划大纲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教材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单元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课程内容</w:t>
            </w:r>
          </w:p>
        </w:tc>
        <w:tc>
          <w:tcPr>
            <w:tcBorders>
              <w:top w:val="single" w:color="4A60BA" w:sz="12" w:space="0"/>
              <w:left w:val="none" w:sz="0" w:space="0"/>
              <w:bottom w:val="single" w:color="4A60BA" w:sz="12" w:space="0"/>
              <w:right w:val="none" w:sz="0" w:space="0"/>
            </w:tcBorders>
            <w:shd w:val="clear" w:color="auto" w:fill="4A60BA"/>
          </w:tcPr>
          <w:p>
            <w:pPr>
              <w:spacing w:before="60" w:after="60" w:line="280" w:lineRule="auto"/>
            </w:pPr>
            <w:r>
              <w:rPr>
                <w:b w:val="on"/>
                <w:sz w:val="20"/>
                <w:rFonts w:ascii="微软雅黑" w:hAnsi="微软雅黑" w:cs="微软雅黑" w:eastAsia="微软雅黑"/>
                <w:color w:val="FFFFFF"/>
              </w:rPr>
              <w:t>学习目标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NEF-I-1A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语法：一般现在时和现在进行时；动作动词和非动作动词</w:t>
              <w:cr/>
              <w:t>词汇：食物和餐厅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能区分一般现在时和现在进行时，知道其用法和语法结构</w:t>
              <w:cr/>
              <w:t>• 学习并分辨动作动词和非动作动词，知道怎么在句子中使用</w:t>
              <w:cr/>
              <w:t>• 能够对食物主题话题进行交流，包括饮食习惯和不同国家的食物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NEF-I-1B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语法：过去时：一般、进行、和完成</w:t>
              <w:cr/>
              <w:t>词汇：体育运动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能区分一般过去时，过去进行时，过去完成时，知道其具体用法和语法结构，和他们的区别</w:t>
              <w:cr/>
              <w:t>• 学习并掌握连接不同体育运动的动词上，还有体育主题的词汇</w:t>
              <w:cr/>
              <w:t>• 能够正确运用三种不同的过去时来讲述故事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NEF-I-2A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语法：现在完成时和一般过去时</w:t>
              <w:cr/>
              <w:t>词汇：钱，短语动词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能够正确区分并使用现在完成时和一般过去时</w:t>
              <w:cr/>
              <w:t>•掌握谈论金钱的常用词汇和表达方式</w:t>
              <w:cr/>
              <w:t>•理解并参与关于金钱价值观的讨论</w:t>
              <w:cr/>
              <w:t>•能够准确表达和理解数字、分数、百分比等数学概念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NEF-I-2B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语法：现在完成进行时</w:t>
              <w:cr/>
              <w:t>词汇：strong adjectives: exhausted, amazed, etc.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掌握现在完成进行时的结构和用法（包括for/since的使用）</w:t>
              <w:cr/>
              <w:t>•能够用现在完成进行时描述持续到现在的动作和刚刚结束的动作</w:t>
              <w:cr/>
              <w:t>•学会使用强烈的形容词来增强表达力度</w:t>
              <w:cr/>
              <w:t>•学生需要通过阅读和分析文章理解旅行如何影响人生，并能讨论相关话题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NEF-I-2C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语法：比较级和最高级</w:t>
              <w:cr/>
              <w:t>词汇：交通和旅行; how long+take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熟练掌握并运用比较级和最高级形式进行比较</w:t>
              <w:cr/>
              <w:t>•学会使用旅行和交通相关的词汇和表达</w:t>
              <w:cr/>
              <w:t>•能够讨论和比较不同交通方式的优缺点</w:t>
              <w:cr/>
              <w:t>•理解并讨论道路安全问题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NEF-I-3A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语法：must, have to, should(责任)</w:t>
              <w:cr/>
              <w:t>词汇：手机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掌握并能准确区分must / have to 和 should表达义务的不同语气和用法</w:t>
              <w:cr/>
              <w:t>• 理解情态动词和普通动词在表达义务时的区别</w:t>
              <w:cr/>
              <w:t>•学会使用与打电话相关的词汇和表达</w:t>
              <w:cr/>
              <w:t>•能够在现代礼仪的语境中恰当使用不同的义务表达方式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NEF-I-3B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语法：must, may, might, can't (推论)</w:t>
              <w:cr/>
              <w:t>词汇：描述人物(look or look like?)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掌握描述人物外貌的词汇和表达</w:t>
              <w:cr/>
              <w:t>• 学会使用情态动词（can, must, might）进行逻辑推测</w:t>
              <w:cr/>
              <w:t>•理解以貌取人的社会现象并能进行相关讨论</w:t>
              <w:cr/>
              <w:t>•能够运用推测性情态动词表达不同程度的确定性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NEF-I-3C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语法：can, could, be able to(能力和可能性)</w:t>
              <w:cr/>
              <w:t>词汇：-ed和-ing结尾的形容词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掌握be able to在不同时态和形式中的用法</w:t>
              <w:cr/>
              <w:t>• 理解can / can't与be able to的使用区别</w:t>
              <w:cr/>
              <w:t>•复习并熟练运用-ed和-ing结尾的形容词</w:t>
              <w:cr/>
              <w:t>•能够谈论个人技能及能力，表达自己能做或希望能做的事情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NEF-I-4A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语法：第一条件句和将来时从句+when, until, etc.</w:t>
              <w:cr/>
              <w:t>词汇：教育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复习第一条件句并掌握时间从句中现在时态的用法</w:t>
              <w:cr/>
              <w:t>• 学会when, as soon as, until等连词后的时态规则</w:t>
              <w:cr/>
              <w:t>• 掌握与教育相关的高频词汇和表达</w:t>
              <w:cr/>
              <w:t>• 能够对比讨论不同时代的教育方式和特点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NEF-I-4B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语法：第二条件句</w:t>
              <w:cr/>
              <w:t>词汇：房屋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复习第二条件句并掌握其与第一条件句的区别</w:t>
              <w:cr/>
              <w:t>• 学习不带if的条件句用法</w:t>
              <w:cr/>
              <w:t>• 掌握与房屋相关的词汇和表达</w:t>
              <w:cr/>
              <w:t>• 能够描述和讨论梦想之家主题的话题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NEF-I-提升4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语用：一个流行明星的造访</w:t>
              <w:cr/>
              <w:t>写作：描述一个房屋或者公寓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掌握多种提出建议的表达方式，并且能够在不同情境中恰当地提出和回应建议</w:t>
              <w:cr/>
              <w:t>• 掌握描述房屋或公寓的词汇和表达，并学会使用更具表现力的描述性形容词，结合这个单元学过的单词进行巩固</w:t>
              <w:cr/>
              <w:t>• 能够撰写一篇详细且生动的房屋描述文章，提高描述性写作的表达能力和词汇丰富度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NEF-I-5B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语法：冠词：不定冠词a/an、定冠词the和零冠词</w:t>
              <w:cr/>
              <w:t>词汇：动词和形容词+介词，连接词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掌握冠词（a/an/the）的基本使用规则，理解在泛化表达中省略定冠词的情况</w:t>
              <w:cr/>
              <w:t>• 通过男女话题差异的轻松讨论，在真实语境中运用冠词规则描述不同群体的行为特征</w:t>
              <w:cr/>
              <w:t>• 学习常见动词与形容词搭配的介词组合</w:t>
              <w:cr/>
              <w:t>• 在讨论男女对不同活动的态度时，正确使用冠词与介词结构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NEF-I-5C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语法：动名词和不定式</w:t>
              <w:cr/>
              <w:t>词汇：工作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掌握动词后接-ing形式与不定式（to do）的用法区别，理解常见动词的搭配规则</w:t>
              <w:cr/>
              <w:t>• 通过职业性格测试问卷，运用动名词与不定式描述个人特质与职业倾向</w:t>
              <w:cr/>
              <w:t>• 通过真人秀节目情境，学习职场相关词汇与表达</w:t>
              <w:cr/>
              <w:t>• 结合性格与职业场景，口头或书面说明自己适合某类工作的理由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NEF-I-6B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语法：被动：be+过去分词</w:t>
              <w:cr/>
              <w:t>词汇：电影院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复习并扩展被动语态在不同时态中的运用</w:t>
              <w:cr/>
              <w:t>• 运用所学词汇及结构，描述个人观影偏好与经历，完成电影主题相关问卷调查</w:t>
              <w:cr/>
              <w:t>• 听懂关于学生结识著名导演的真实故事，提取关键事件与发展脉络</w:t>
              <w:cr/>
              <w:t>• 在小组活动中模拟电影场景推荐或导演合作情景，提升语言综合运用能力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NEF-I-6C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语法：定语从句：限定和非限定</w:t>
              <w:cr/>
              <w:t>词汇：人们是做什么的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掌握限定性定语从句与非限定性定语从句的结构与用法区别，准确运用于人物描述</w:t>
              <w:cr/>
              <w:t>• 阅读《时代》杂志关于21世纪英雄的评选内容，提取关键信息并分析人物贡献</w:t>
              <w:cr/>
              <w:t>• 综合运用定语从句与职业词汇，口头或书面介绍自己崇敬的人物并说明理由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NEF-I-7A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语法：第三条件句</w:t>
              <w:cr/>
              <w:t>词汇：形容词+副词+前缀，反义词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4" w:space="0"/>
              <w:right w:val="none" w:sz="0" w:space="0"/>
            </w:tcBorders>
            <w:shd w:val="clear" w:color="auto" w:fill="FFFFFF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掌握第三条件句的结构与用法，理解其对过去事件的假设性推测</w:t>
              <w:cr/>
              <w:t>• 通过真实的好运/厄运故事，在语境中运用第三条件句表达对过去事件的虚拟推论</w:t>
              <w:cr/>
              <w:t>• 学习通过前缀与后缀构建形容词和副词</w:t>
              <w:cr/>
              <w:t>• 结合词汇与语法，口头或书面表达自己对“运气”的看法及相关个人经历</w:t>
            </w:r>
          </w:p>
        </w:tc>
      </w:tr>
      <w:tr>
        <w:tc>
          <w:tcPr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NEF-I-7C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语法：动词短语</w:t>
              <w:cr/>
              <w:t>词汇：电视，动词短语</w:t>
            </w:r>
          </w:p>
        </w:tc>
        <w:tc>
          <w:tcPr>
            <w:tcBorders>
              <w:top w:val="single" w:color="E9ECEF" w:sz="4" w:space="0"/>
              <w:left w:val="none" w:sz="0" w:space="0"/>
              <w:bottom w:val="single" w:color="E9ECEF" w:sz="8" w:space="0"/>
              <w:right w:val="none" w:sz="0" w:space="0"/>
            </w:tcBorders>
            <w:shd w:val="clear" w:color="auto" w:fill="F8F9FA"/>
            <w:vAlign w:val="center"/>
          </w:tcPr>
          <w:p>
            <w:pPr>
              <w:spacing w:before="60" w:after="60" w:line="280" w:lineRule="auto"/>
              <w:jc w:val="left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• 通过电视相关话题复习并扩展常用短语动词的用法，理解其在不同语境中的含义</w:t>
              <w:cr/>
              <w:t>• 阅读报纸上关于电视的趣味新闻，理解故事主旨并提取关键信息</w:t>
              <w:cr/>
              <w:t>• 能围绕“无电生活”案例展开讨论，运用所学词汇说明自己不可或缺的电子设备及理由</w:t>
              <w:cr/>
              <w:t>• 能在小组交流中描述个人电视偏好与媒体使用习惯，提升话题讨论的流畅度</w:t>
            </w:r>
          </w:p>
        </w:tc>
      </w:tr>
    </w:tbl>
    <w:p>
      <w:pPr>
        <w:spacing w:after="200"/>
      </w:pP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助教课打卡清单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A. Quizlet 单词打卡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B. Reading Explorer 2 阅读打卡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C. 听力听写与跟读打卡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D. 口语打卡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E. 精听打卡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每课学习词汇：50-70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课程频次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根据备考节奏确定</w:t>
      </w:r>
    </w:p>
    <w:p>
      <w:pPr>
        <w:pStyle w:val="3"/>
        <w:spacing w:before="240" w:after="100"/>
      </w:pPr>
      <w:r>
        <w:rPr>
          <w:rFonts w:ascii="微软雅黑" w:hAnsi="微软雅黑" w:cs="微软雅黑" w:eastAsia="微软雅黑"/>
          <w:sz w:val="24"/>
          <w:b w:val="on"/>
          <w:color w:val="ED7D31"/>
        </w:rPr>
        <w:t xml:space="preserve">✦ </w:t>
      </w:r>
      <w:r>
        <w:rPr>
          <w:rFonts w:ascii="微软雅黑" w:hAnsi="微软雅黑" w:cs="微软雅黑" w:eastAsia="微软雅黑"/>
          <w:sz w:val="24"/>
          <w:b w:val="on"/>
          <w:color w:val="4A60BA"/>
        </w:rPr>
        <w:t>方案风险提示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1. 课堂参与度低，缺乏互动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由于学生不积极参与课堂互动，通常只用单个词汇和短语回答问题，他们可能没有意识到英语学习不仅仅是做作业，更多的是通过交流和实践来掌握语言。如果课堂上学生不参与讨论或互动，也没有积极主动地提问或回答问题，老师很难通过互动了解学生的真正水平和理解情况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影响：学生没有通过实际应用英语来巩固所学的知识，因此，尽管可能学了一些词汇和语法，实际上他们并没有真正内化这些内容，导致学习效果不佳。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采用互动式教学法：通过小组讨论、角色扮演、模拟场景等方式，增加学生的课堂互动和参与感。这样可以鼓励学生主动开口说英语，逐步提高他们的语言输出能力。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鼓励学生提问：让学生感到课堂是一个开放和友好的空间，鼓励他们提问，并给予充分的时间和耐心回答。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2. 对学习目标和内容的认知不清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如果课程目标不够明确或没有与学生的需求和兴趣紧密结合，学生可能无法理解学习内容对自己未来的价值，导致他们缺乏学习的动力和目标感。尤其是学术英语的引入，如果没有适当的过渡，学生可能觉得这些内容过于遥远或者不相关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影响：学生无法看到自己的学习成果，导致他们对学习产生挫败感，甚至可能认为学习英语没有实际意义，从而产生抗拒心理。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与学生的实际生活结合：通过引导学生理解英语学习与他们未来生活的关系，例如留学、旅行、职业发展等，让学生看到英语在实际生活中的应用，增加学习的现实意义。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引导学生设定个人学习目标：让学生根据自己的兴趣和未来的计划设定个人的英语学习目标，并与他们讨论如何通过英语达成这些目标。这样，学生会更有动力去学习英语。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3. 时间管理和学习安排不当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很多学生可能缺乏有效的时间管理和学习规划能力，尤其是在初中阶段，可能还未完全适应自主学习的方式。如果学生没有每天定期学习的习惯，或者没有按时完成作业，会造成学习进度缓慢，错过了必要的复习和巩固时间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影响：学习进度滞后，学生没有足够的时间进行系统复习和巩固，导致知识点没有牢固掌握，学习成果自然无法呈现出来。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制定学习计划：帮助学生制定具体的学习计划，并在计划中细化每周和每日的任务。例如，每天安排15-20分钟的英语学习时间，帮助学生养成规律的学习习惯。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定期检查学习进度：每周和学生回顾一次他们的学习进度，了解他们是否按计划执行。如果有延误，及时调整计划并帮助学生解决遇到的问题。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4. 课外作业和任务拖延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学生缺乏学习主动性和自律性，常常拖延作业和学习任务，只有在老师催促时才会去做。尤其是对于一些低自我驱动的学生，他们可能并没有建立起自觉完成作业的良好习惯，导致任务不能按时完成，影响课程的进展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影响：作业和任务的拖延导致学生无法及时巩固课堂上学到的知识，缺乏持续的复习和练习，最终会影响他们的英语能力提高，无法按计划取得学习成果。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分阶段的作业设计：避免布置过多的任务或过长的作业，而是将作业拆分成小的部分，并设定明确的截止时间。每次任务完成后，及时给予反馈，帮助学生保持动力。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强化作业的即时反馈：及时批改作业并与学生进行一对一反馈，帮助学生了解自己的不足，并提供具体的改进建议。及时的反馈能让学生看到自己的进步，同时避免出现拖延现象。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5. 对错误和反馈的抵触情绪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原因：一些学生对自己犯的错误感到羞愧或者不喜欢被指出错误，尤其是当错误频繁发生时，他们可能产生消极情绪，不愿意接受反馈或纠正。这种情绪可能使他们回避做作业或者不认真复习。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影响：如果学生没有积极接受错误反馈，并加以改正，他们的学习进度就会受到阻碍。错误如果没有及时纠正，容易加深记忆错误，影响学生的长远学习效果。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解决方案：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鼓励错误是学习的一部分：要让学生认识到犯错是学习过程中的一部分，是进步的必要条件。在课堂上，老师可以通过正向的语言帮助学生从错误中学习，而不是批评或责备。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积极反馈和鼓励：通过提供具体的、建设性的反馈来帮助学生改正错误。反馈时要指出学生做得好的地方，并给出改善建议。这样能帮助学生建立自信，减少对错误的负面情绪。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·  让学生自己发现错误：通过引导学生自己找到错误并进行改正，不仅能够增强他们的学习自主性，还能帮助他们更深刻地理解所学内容。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6. 家庭支持不足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家庭环境对学生学习有很大的影响。如果家长对学生的英语学习不够重视，或者没有提供适当的支持和激励，学生可能缺乏外部的监督和鼓励，导致学习动力减弱。尤其是在学生课外学习时，家长的监督和配合非常重要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影响：没有足够的家庭支持，学生可能缺乏学习的动力和约束，难以按计划完成作业或进行有效的学习，进而影响整体学习成果。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7. 学习压力过大导致的焦虑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原因：有些学生可能会感到英语学习的压力过大，尤其是在面对较为困难的学术英语内容时。如果学生因为某些任务或目标感到焦虑，他们可能选择逃避学习，甚至不愿意面对课堂上的挑战。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影响：学生无法正面应对挑战，甚至可能因焦虑产生情绪问题，从而影响学习表现和结果。如果教学方法过于急功近利，也可能加剧学生的压力。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解决方法：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关注学生的心理状态：定期与学生交流，了解他们的情绪和心理状况，尤其是在面对学业压力时。帮助学生学会管理学习压力，保持积极的心态。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8. 外部因素（如健康问题、情绪波动等）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原因：学生在学习过程中可能会因为身体健康问题、家庭压力、心理情绪问题等外部因素，导致无法集中注意力，影响学习效率。这些因素可能不容易察觉，但却会对学习产生很大影响。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影响：情绪不佳或健康问题会导致学生的学习注意力和效率下降，无法按计划进行学习和任务完成，学习进展自然会受到影响。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解决方法：</w:t>
      </w:r>
    </w:p>
    <w:p>
      <w:pPr>
        <w:spacing w:after="100"/>
        <w:ind w:left="300"/>
      </w:pPr>
      <w:r>
        <w:rPr>
          <w:rFonts w:ascii="微软雅黑" w:hAnsi="微软雅黑" w:cs="微软雅黑" w:eastAsia="微软雅黑"/>
          <w:sz w:val="20"/>
        </w:rPr>
        <w:t>关注学生的心理状态：定期与学生交流，了解他们的情绪和心理状况，尤其是在面对学业压力时。帮助学生学会管理学习压力，保持积极的心态。</w:t>
      </w:r>
    </w:p>
    <w:p w14:paraId="4581357E">
      <w:r>
        <w:t/>
      </w:r>
    </w:p>
    <w:p w14:paraId="436FF6E4"/>
    <w:p w14:paraId="77BC692A"/>
    <w:p w14:paraId="578114F6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8"/>
          <w:szCs w:val="32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t>四、费用</w:t>
      </w:r>
    </w:p>
    <w:p w14:paraId="0E0E0CAB">
      <w:pPr>
        <w:snapToGrid w:val="0"/>
        <w:spacing w:line="432" w:lineRule="auto"/>
      </w:pPr>
      <w:r>
        <w:drawing>
          <wp:inline distT="0" distB="0" distL="114300" distR="114300">
            <wp:extent cx="4542155" cy="8077200"/>
            <wp:effectExtent l="0" t="0" r="4445" b="0"/>
            <wp:docPr id="1" name="图片 1" descr="C:\Users\Administrator\Documents\WeChat Files\adam-xue\FileStorage\Temp\40a340d8b199a67885bbaa5426667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WeChat Files\adam-xue\FileStorage\Temp\40a340d8b199a67885bbaa5426667f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8B3CB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04E64B04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566660" cy="10702925"/>
            <wp:effectExtent l="0" t="0" r="2540" b="15875"/>
            <wp:wrapNone/>
            <wp:docPr id="5" name="图片 5" descr="微信图片_202311231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11231117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88AE2">
      <w:pPr>
        <w:snapToGrid w:val="0"/>
        <w:spacing w:line="432" w:lineRule="auto"/>
      </w:pPr>
      <w:r>
        <w:rPr>
          <w:rFonts w:hint="eastAsi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-1130300</wp:posOffset>
            </wp:positionH>
            <wp:positionV relativeFrom="paragraph">
              <wp:posOffset>-921385</wp:posOffset>
            </wp:positionV>
            <wp:extent cx="7553960" cy="10684510"/>
            <wp:effectExtent l="0" t="0" r="15240" b="8890"/>
            <wp:wrapNone/>
            <wp:docPr id="6" name="图片 6" descr="lingoland报告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ingoland报告封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82241">
      <w:bookmarkStart w:id="0" w:name="_GoBack"/>
      <w:bookmarkEnd w:id="0"/>
    </w:p>
    <w:p w14:paraId="01818A72"/>
    <w:p w14:paraId="4D6592E0"/>
    <w:sectPr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D44C6CE4-5AB0-243C-3097-C769F10B95EB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宋体 Heavy">
    <w:altName w:val="汉仪书宋二KW"/>
    <w:panose1 w:val="020B0604020202020204"/>
    <w:charset w:val="86"/>
    <w:family w:val="auto"/>
    <w:pitch w:val="default"/>
    <w:sig w:usb0="00000000" w:usb1="00000000" w:usb2="00000016" w:usb3="00000000" w:csb0="602E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思源黑体 CN Medium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思源黑体 CN Heavy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  <w:embedRegular r:id="rId2" w:fontKey="{7F1DFCE6-C0E1-EEDA-3097-C769136C0BC6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49981">
    <w:pPr>
      <w:pStyle w:val="5"/>
    </w:pPr>
    <w:r>
      <w:rPr>
        <w:rFonts w:hint="eastAsi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595498682" name="图片 595498682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498682" name="图片 595498682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48C3A">
    <w:pPr>
      <w:pStyle w:val="5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-1143635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2079956907" name="图片 2079956907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956907" name="图片 2079956907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F0C23"/>
    <w:multiLevelType w:val="singleLevel"/>
    <w:tmpl w:val="EB8F0C2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B1CCEA4"/>
    <w:multiLevelType w:val="singleLevel"/>
    <w:tmpl w:val="6B1CCEA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DFB4990"/>
    <w:rsid w:val="00037DE2"/>
    <w:rsid w:val="000742DF"/>
    <w:rsid w:val="000947ED"/>
    <w:rsid w:val="00143664"/>
    <w:rsid w:val="001A238E"/>
    <w:rsid w:val="001A36FA"/>
    <w:rsid w:val="001A516D"/>
    <w:rsid w:val="0022022C"/>
    <w:rsid w:val="002361E2"/>
    <w:rsid w:val="0025262D"/>
    <w:rsid w:val="0025582B"/>
    <w:rsid w:val="002B5C86"/>
    <w:rsid w:val="002C1986"/>
    <w:rsid w:val="002F6EA6"/>
    <w:rsid w:val="003038CA"/>
    <w:rsid w:val="00334523"/>
    <w:rsid w:val="00354D90"/>
    <w:rsid w:val="0036776D"/>
    <w:rsid w:val="003D2309"/>
    <w:rsid w:val="0046165A"/>
    <w:rsid w:val="00464159"/>
    <w:rsid w:val="00480C56"/>
    <w:rsid w:val="004B4F38"/>
    <w:rsid w:val="004C48F7"/>
    <w:rsid w:val="004D3DAC"/>
    <w:rsid w:val="004F627E"/>
    <w:rsid w:val="00510F6E"/>
    <w:rsid w:val="005B4F0B"/>
    <w:rsid w:val="0062745F"/>
    <w:rsid w:val="00633A97"/>
    <w:rsid w:val="00634110"/>
    <w:rsid w:val="00652972"/>
    <w:rsid w:val="00741ED8"/>
    <w:rsid w:val="00747DE8"/>
    <w:rsid w:val="00761CE1"/>
    <w:rsid w:val="0079446D"/>
    <w:rsid w:val="007A606B"/>
    <w:rsid w:val="007E5C11"/>
    <w:rsid w:val="007E6180"/>
    <w:rsid w:val="00804006"/>
    <w:rsid w:val="0081268E"/>
    <w:rsid w:val="0081371F"/>
    <w:rsid w:val="00825EA2"/>
    <w:rsid w:val="00894D0C"/>
    <w:rsid w:val="008B42D4"/>
    <w:rsid w:val="009611EE"/>
    <w:rsid w:val="00982043"/>
    <w:rsid w:val="009B2E42"/>
    <w:rsid w:val="009C7285"/>
    <w:rsid w:val="00A37D58"/>
    <w:rsid w:val="00AA25AE"/>
    <w:rsid w:val="00AA6636"/>
    <w:rsid w:val="00AF2A05"/>
    <w:rsid w:val="00B20021"/>
    <w:rsid w:val="00B62951"/>
    <w:rsid w:val="00B82437"/>
    <w:rsid w:val="00B915C6"/>
    <w:rsid w:val="00BB5E19"/>
    <w:rsid w:val="00C060FB"/>
    <w:rsid w:val="00C25FF6"/>
    <w:rsid w:val="00C5530C"/>
    <w:rsid w:val="00C62BD6"/>
    <w:rsid w:val="00C64CFC"/>
    <w:rsid w:val="00CB575B"/>
    <w:rsid w:val="00D331FF"/>
    <w:rsid w:val="00D70FD1"/>
    <w:rsid w:val="00D913C0"/>
    <w:rsid w:val="00DB4746"/>
    <w:rsid w:val="00E36BA6"/>
    <w:rsid w:val="00E97A28"/>
    <w:rsid w:val="00F06944"/>
    <w:rsid w:val="00F62596"/>
    <w:rsid w:val="00F75A7D"/>
    <w:rsid w:val="00F96AD3"/>
    <w:rsid w:val="00FB154B"/>
    <w:rsid w:val="023215B6"/>
    <w:rsid w:val="024A0CCD"/>
    <w:rsid w:val="031F2B4F"/>
    <w:rsid w:val="054878AC"/>
    <w:rsid w:val="064A5444"/>
    <w:rsid w:val="08680FC5"/>
    <w:rsid w:val="0C5C7E64"/>
    <w:rsid w:val="0CB24EC7"/>
    <w:rsid w:val="0E2B0784"/>
    <w:rsid w:val="13D90206"/>
    <w:rsid w:val="1B2217A8"/>
    <w:rsid w:val="1E516824"/>
    <w:rsid w:val="2130304B"/>
    <w:rsid w:val="237C7417"/>
    <w:rsid w:val="24030CCA"/>
    <w:rsid w:val="28FDA97C"/>
    <w:rsid w:val="29BA3C7C"/>
    <w:rsid w:val="2B4FE059"/>
    <w:rsid w:val="2BBF9C99"/>
    <w:rsid w:val="2ED550C7"/>
    <w:rsid w:val="305D4027"/>
    <w:rsid w:val="30DE2356"/>
    <w:rsid w:val="31E41BA5"/>
    <w:rsid w:val="3473615A"/>
    <w:rsid w:val="36FF40BB"/>
    <w:rsid w:val="3AFBD548"/>
    <w:rsid w:val="3B8A40E5"/>
    <w:rsid w:val="3BDF6B5B"/>
    <w:rsid w:val="3D8250CD"/>
    <w:rsid w:val="3DBF5F79"/>
    <w:rsid w:val="3DF74B5E"/>
    <w:rsid w:val="3DFF1D98"/>
    <w:rsid w:val="3EFFE2D9"/>
    <w:rsid w:val="3F0F5B08"/>
    <w:rsid w:val="3FEF77F3"/>
    <w:rsid w:val="407E1635"/>
    <w:rsid w:val="40A54A34"/>
    <w:rsid w:val="423A7D24"/>
    <w:rsid w:val="43BA15E0"/>
    <w:rsid w:val="4477D9BA"/>
    <w:rsid w:val="458C4D3B"/>
    <w:rsid w:val="47DE5448"/>
    <w:rsid w:val="48600372"/>
    <w:rsid w:val="4B437819"/>
    <w:rsid w:val="4BBE132D"/>
    <w:rsid w:val="4D8D54ED"/>
    <w:rsid w:val="4E6B8D08"/>
    <w:rsid w:val="4F349778"/>
    <w:rsid w:val="4F58031B"/>
    <w:rsid w:val="53171124"/>
    <w:rsid w:val="54723C8C"/>
    <w:rsid w:val="5799F66F"/>
    <w:rsid w:val="579F52E0"/>
    <w:rsid w:val="59EF45E7"/>
    <w:rsid w:val="5ADE0A23"/>
    <w:rsid w:val="5BFED044"/>
    <w:rsid w:val="5F743453"/>
    <w:rsid w:val="5F855094"/>
    <w:rsid w:val="5FEF048F"/>
    <w:rsid w:val="5FF7C4B9"/>
    <w:rsid w:val="5FFFEF82"/>
    <w:rsid w:val="62B01A07"/>
    <w:rsid w:val="670105F1"/>
    <w:rsid w:val="679F2F96"/>
    <w:rsid w:val="67EE5137"/>
    <w:rsid w:val="68802D9C"/>
    <w:rsid w:val="689A0C6D"/>
    <w:rsid w:val="69085BD7"/>
    <w:rsid w:val="6ABD32C2"/>
    <w:rsid w:val="6C37646B"/>
    <w:rsid w:val="6FDB4580"/>
    <w:rsid w:val="6FF2055E"/>
    <w:rsid w:val="7027034A"/>
    <w:rsid w:val="713734FD"/>
    <w:rsid w:val="73F14E3B"/>
    <w:rsid w:val="73FDF651"/>
    <w:rsid w:val="75CC178B"/>
    <w:rsid w:val="75FBEEDE"/>
    <w:rsid w:val="76ADECD8"/>
    <w:rsid w:val="76FF3D98"/>
    <w:rsid w:val="78436A5A"/>
    <w:rsid w:val="78FF49B3"/>
    <w:rsid w:val="797F350A"/>
    <w:rsid w:val="79ABA4AE"/>
    <w:rsid w:val="79FFE48C"/>
    <w:rsid w:val="7B4F1FD7"/>
    <w:rsid w:val="7BE9C40D"/>
    <w:rsid w:val="7CB79984"/>
    <w:rsid w:val="7CF726F5"/>
    <w:rsid w:val="7DFDD74E"/>
    <w:rsid w:val="7E739082"/>
    <w:rsid w:val="7EACCB59"/>
    <w:rsid w:val="7EFE7DF2"/>
    <w:rsid w:val="7F749A13"/>
    <w:rsid w:val="7F9F005A"/>
    <w:rsid w:val="7FAA8152"/>
    <w:rsid w:val="7FDA7E80"/>
    <w:rsid w:val="7FF764BC"/>
    <w:rsid w:val="8FB7AA0E"/>
    <w:rsid w:val="99EFE734"/>
    <w:rsid w:val="AEF6C92D"/>
    <w:rsid w:val="B78D97A5"/>
    <w:rsid w:val="B8EE66C4"/>
    <w:rsid w:val="BAFF7BFF"/>
    <w:rsid w:val="BDFB4990"/>
    <w:rsid w:val="BF3FBFDE"/>
    <w:rsid w:val="BF5E8E92"/>
    <w:rsid w:val="BFBBEF06"/>
    <w:rsid w:val="BFD52BE0"/>
    <w:rsid w:val="BFFDBD07"/>
    <w:rsid w:val="C7FF79B9"/>
    <w:rsid w:val="D7A7AA13"/>
    <w:rsid w:val="D7B74DC1"/>
    <w:rsid w:val="DBAC1D49"/>
    <w:rsid w:val="DBFBD17E"/>
    <w:rsid w:val="DEFF786F"/>
    <w:rsid w:val="DFEF882F"/>
    <w:rsid w:val="DFF7FD39"/>
    <w:rsid w:val="E36C88E2"/>
    <w:rsid w:val="E7EF3A9B"/>
    <w:rsid w:val="E86D79C9"/>
    <w:rsid w:val="EA3F6672"/>
    <w:rsid w:val="EDFF4F51"/>
    <w:rsid w:val="EE9F77CB"/>
    <w:rsid w:val="EF7B75FE"/>
    <w:rsid w:val="EFDDBCA6"/>
    <w:rsid w:val="EFF6C55A"/>
    <w:rsid w:val="F2CD434E"/>
    <w:rsid w:val="F639D5C4"/>
    <w:rsid w:val="F6FF6B74"/>
    <w:rsid w:val="F7237768"/>
    <w:rsid w:val="F77E7BAE"/>
    <w:rsid w:val="F7CEDC6D"/>
    <w:rsid w:val="F7E9E51D"/>
    <w:rsid w:val="F7F70330"/>
    <w:rsid w:val="FD25483E"/>
    <w:rsid w:val="FDBF5383"/>
    <w:rsid w:val="FEED1D84"/>
    <w:rsid w:val="FEEDF23A"/>
    <w:rsid w:val="FF354D6B"/>
    <w:rsid w:val="FF4B9C79"/>
    <w:rsid w:val="FFDC4E13"/>
    <w:rsid w:val="FFDFA72D"/>
    <w:rsid w:val="FFDFAEC4"/>
    <w:rsid w:val="FFF7AE9B"/>
    <w:rsid w:val="FFFE3805"/>
    <w:rsid w:val="FFFE650C"/>
    <w:rsid w:val="FFFF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customStyle="1" w:styleId="12">
    <w:name w:val="font11"/>
    <w:basedOn w:val="9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3">
    <w:name w:val="font01"/>
    <w:basedOn w:val="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font31"/>
    <w:basedOn w:val="9"/>
    <w:qFormat/>
    <w:uiPriority w:val="0"/>
    <w:rPr>
      <w:rFonts w:hint="eastAsia" w:ascii="宋体" w:hAnsi="宋体" w:eastAsia="宋体" w:cs="宋体"/>
      <w:i/>
      <w:iCs/>
      <w:color w:val="000000"/>
      <w:sz w:val="22"/>
      <w:szCs w:val="22"/>
      <w:u w:val="single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../customXml/item1.xml" Type="http://schemas.openxmlformats.org/officeDocument/2006/relationships/customXml"/><Relationship Id="rId13" Target="numbering.xml" Type="http://schemas.openxmlformats.org/officeDocument/2006/relationships/numbering"/><Relationship Id="rId14" Target="fontTable.xml" Type="http://schemas.openxmlformats.org/officeDocument/2006/relationships/fontTabl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theme/theme1.xml" Type="http://schemas.openxmlformats.org/officeDocument/2006/relationships/them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media/image5.jpe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 textRotate="1"/>
    <customShpInfo spid="_x0000_s1028" textRotate="1"/>
    <customShpInfo spid="_x0000_s102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1782</Words>
  <Characters>10159</Characters>
  <Lines>1</Lines>
  <Paragraphs>1</Paragraphs>
  <TotalTime>0</TotalTime>
  <ScaleCrop>false</ScaleCrop>
  <LinksUpToDate>false</LinksUpToDate>
  <CharactersWithSpaces>11918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2025-03-15T04:35:00Z</dcterms:created>
  <dc:creator>Hei di</dc:creator>
  <cp:lastModifiedBy>李绍成</cp:lastModifiedBy>
  <dcterms:modified xsi:type="dcterms:W3CDTF">2026-03-28T16:54:08Z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3E244F93D817BDD276F3A06942C867CA_43</vt:lpwstr>
  </property>
</Properties>
</file>