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F6D7AD" w14:textId="77777777" w:rsidR="009E1539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Explanatory Notes</w:t>
      </w:r>
    </w:p>
    <w:p w14:paraId="18BCB7BB" w14:textId="77777777" w:rsidR="00A30ADC" w:rsidRPr="00A30ADC" w:rsidRDefault="00A30ADC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1AE13709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r w:rsidRPr="001E33A5">
        <w:rPr>
          <w:rFonts w:ascii="Times New Roman" w:hAnsi="Times New Roman" w:cs="Times New Roman"/>
          <w:b/>
          <w:sz w:val="32"/>
          <w:szCs w:val="32"/>
        </w:rPr>
        <w:t>A. Tissue Handling</w:t>
      </w:r>
    </w:p>
    <w:p w14:paraId="4D0918C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Tissue specimens optimally are received fresh/unfixed because of the importance of ancillary studies, such as</w:t>
      </w:r>
    </w:p>
    <w:p w14:paraId="7108EEA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0ADC">
        <w:rPr>
          <w:rFonts w:ascii="Times New Roman" w:hAnsi="Times New Roman" w:cs="Times New Roman"/>
          <w:sz w:val="32"/>
          <w:szCs w:val="32"/>
        </w:rPr>
        <w:t>cytogenetics</w:t>
      </w:r>
      <w:proofErr w:type="spellEnd"/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and molecular testing, which require fresh tissue. First priority should always be given to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formalinfixed</w:t>
      </w:r>
      <w:proofErr w:type="spellEnd"/>
    </w:p>
    <w:p w14:paraId="7EB7BEEC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tissues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for morphologic evaluation, followed by submission of fresh tissue for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cytogenetics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and/or snap</w:t>
      </w:r>
    </w:p>
    <w:p w14:paraId="6A24708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freezing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 minimum of 100 mg of viable tumor for potential molecular studies.1 Molecular testing on formalin-fixed</w:t>
      </w:r>
    </w:p>
    <w:p w14:paraId="12FDAA3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paraffin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-embedded tissue may be performed for FISH evaluation of EWSR1 rearrangement and for RT-PCR</w:t>
      </w:r>
    </w:p>
    <w:p w14:paraId="287791D1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evaluation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of EWSR1-FLI1, EWSR1-ERG, and other ES translocations. When the amount of tissue is limited, the</w:t>
      </w:r>
    </w:p>
    <w:p w14:paraId="0E21BB3F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pathologist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can keep the frozen tissue aliquot used for frozen section (usually done to determine sample</w:t>
      </w:r>
    </w:p>
    <w:p w14:paraId="3F191BD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adequacy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and viability) in a frozen state (-70°C is preferable). Translocations may be detected using RT-PCR on</w:t>
      </w:r>
    </w:p>
    <w:p w14:paraId="414D79D8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frozen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or fixed paraffin-embedded tissue, or FISH on touch preparations made from fresh tissue or formalin-fixed</w:t>
      </w:r>
    </w:p>
    <w:p w14:paraId="5448278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paraffin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-embedded tissue.</w:t>
      </w:r>
    </w:p>
    <w:p w14:paraId="6F21AB5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Note that classification of many subtypes of sarcoma is not always dependent upon special studies, such as</w:t>
      </w:r>
    </w:p>
    <w:p w14:paraId="79B69951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0ADC">
        <w:rPr>
          <w:rFonts w:ascii="Times New Roman" w:hAnsi="Times New Roman" w:cs="Times New Roman"/>
          <w:sz w:val="32"/>
          <w:szCs w:val="32"/>
        </w:rPr>
        <w:t>cytogenetics</w:t>
      </w:r>
      <w:proofErr w:type="spellEnd"/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or molecular genetics, but frozen tissue may be required to enter patients into treatment protocols.</w:t>
      </w:r>
    </w:p>
    <w:p w14:paraId="6D24B687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Discretion should be used in triaging tissue from sarcomas. Adequate tissue should be submitted for conventional</w:t>
      </w:r>
    </w:p>
    <w:p w14:paraId="347B4DDB" w14:textId="77777777" w:rsidR="009E1539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light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microscopy before tissue has been taken for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cytogenetics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, electron microscopy, or molecular analysis.</w:t>
      </w:r>
    </w:p>
    <w:p w14:paraId="6F03E600" w14:textId="77777777" w:rsidR="001E33A5" w:rsidRPr="00A30ADC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7966AB4A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1E33A5">
        <w:rPr>
          <w:rFonts w:ascii="Times New Roman" w:hAnsi="Times New Roman" w:cs="Times New Roman"/>
          <w:b/>
          <w:sz w:val="32"/>
          <w:szCs w:val="32"/>
        </w:rPr>
        <w:t xml:space="preserve"> B. Procedures</w:t>
      </w:r>
    </w:p>
    <w:p w14:paraId="72C622D3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u w:val="single"/>
        </w:rPr>
      </w:pPr>
      <w:proofErr w:type="spellStart"/>
      <w:r w:rsidRPr="001E33A5">
        <w:rPr>
          <w:rFonts w:ascii="Times New Roman" w:hAnsi="Times New Roman" w:cs="Times New Roman"/>
          <w:sz w:val="32"/>
          <w:szCs w:val="32"/>
          <w:u w:val="single"/>
        </w:rPr>
        <w:t>Cytologic</w:t>
      </w:r>
      <w:proofErr w:type="spellEnd"/>
      <w:r w:rsidRPr="001E33A5">
        <w:rPr>
          <w:rFonts w:ascii="Times New Roman" w:hAnsi="Times New Roman" w:cs="Times New Roman"/>
          <w:sz w:val="32"/>
          <w:szCs w:val="32"/>
          <w:u w:val="single"/>
        </w:rPr>
        <w:t xml:space="preserve"> Material</w:t>
      </w:r>
    </w:p>
    <w:p w14:paraId="3632FD0D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Cytological material is usually sufficient to diagnose ES (with supportive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immunostains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) (Note G)</w:t>
      </w:r>
      <w:proofErr w:type="gramStart"/>
      <w:r w:rsidRPr="00A30ADC">
        <w:rPr>
          <w:rFonts w:ascii="Times New Roman" w:hAnsi="Times New Roman" w:cs="Times New Roman"/>
          <w:sz w:val="32"/>
          <w:szCs w:val="32"/>
        </w:rPr>
        <w:t>.2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An important</w:t>
      </w:r>
    </w:p>
    <w:p w14:paraId="5D22B41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limitation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of fine-needle aspiration is the limited amount of tissue for additional molecular diagnostic studies1 and</w:t>
      </w:r>
    </w:p>
    <w:p w14:paraId="1762A993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tissue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banking (see Note A). Evaluation by a pathologist at the time of the fine-needle biopsy procedure is</w:t>
      </w:r>
    </w:p>
    <w:p w14:paraId="3F10252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important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to assess the adequacy of the specimen for routine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histomorphologic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diagnosis and for ancillary</w:t>
      </w:r>
    </w:p>
    <w:p w14:paraId="696D035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studies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.</w:t>
      </w:r>
    </w:p>
    <w:p w14:paraId="1626A5E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If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cytologic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material includes fluid, such as pleural effusions or fluid from a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liquefactive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tumor, the fluid should be</w:t>
      </w:r>
    </w:p>
    <w:p w14:paraId="63B6913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centrifuged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and the resulting pellet fixed with formalin prior to making a paraffin cell block. The resulting cell block</w:t>
      </w:r>
    </w:p>
    <w:p w14:paraId="6DECC037" w14:textId="77777777" w:rsidR="009E1539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lastRenderedPageBreak/>
        <w:t>allows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for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histopathologic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examination and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immunocytochemical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, RT-PCR, and FISH analyses.</w:t>
      </w:r>
    </w:p>
    <w:p w14:paraId="039B70E9" w14:textId="77777777" w:rsidR="001E33A5" w:rsidRPr="00A30ADC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2E96FFC2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u w:val="single"/>
        </w:rPr>
      </w:pPr>
      <w:r w:rsidRPr="001E33A5">
        <w:rPr>
          <w:rFonts w:ascii="Times New Roman" w:hAnsi="Times New Roman" w:cs="Times New Roman"/>
          <w:sz w:val="32"/>
          <w:szCs w:val="32"/>
          <w:u w:val="single"/>
        </w:rPr>
        <w:t>Biopsy (Needle, Incisional, Excisional)</w:t>
      </w:r>
    </w:p>
    <w:p w14:paraId="71DE8007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Core needle biopsies can obtain sufficient material for special studies and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histomorphologic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diagnosis. Open</w:t>
      </w:r>
    </w:p>
    <w:p w14:paraId="7FE2827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incisional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biopsy is generally the preferred and most widely used technique, because it consistently provides a</w:t>
      </w:r>
    </w:p>
    <w:p w14:paraId="2FB47EED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larger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sample of tissue and maximizes the opportunity for a specific pathologic diagnosis.3 Excisional biopsy may</w:t>
      </w:r>
    </w:p>
    <w:p w14:paraId="3A7626A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not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include an adequate margin of normal tissue, even with an operative impression of total gross removal.3</w:t>
      </w:r>
    </w:p>
    <w:p w14:paraId="61B4FB3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In cases of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nonexcisional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biopsy (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eg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, core biopsy, incisional biopsy), the tumor size cannot be determined on</w:t>
      </w:r>
    </w:p>
    <w:p w14:paraId="7715D85F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pathologic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grounds; therefore, imaging data (computed tomography [CT], magnetic resonance imaging [MRI],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)</w:t>
      </w:r>
    </w:p>
    <w:p w14:paraId="1C1AB697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can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be used instead.</w:t>
      </w:r>
    </w:p>
    <w:p w14:paraId="4967219D" w14:textId="77777777" w:rsidR="001E33A5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u w:val="single"/>
        </w:rPr>
      </w:pPr>
    </w:p>
    <w:p w14:paraId="47DB7EEB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u w:val="single"/>
        </w:rPr>
      </w:pPr>
      <w:r w:rsidRPr="001E33A5">
        <w:rPr>
          <w:rFonts w:ascii="Times New Roman" w:hAnsi="Times New Roman" w:cs="Times New Roman"/>
          <w:sz w:val="32"/>
          <w:szCs w:val="32"/>
          <w:u w:val="single"/>
        </w:rPr>
        <w:t>Tumor Resection</w:t>
      </w:r>
    </w:p>
    <w:p w14:paraId="4AA0E2D3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Resection specimens may be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intralesional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, marginal, wide, or radical in extent.4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Intralesional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resections extend</w:t>
      </w:r>
    </w:p>
    <w:p w14:paraId="192A903F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through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tumor planes, with gross or microscopic residual tumor identifiable at surgical margins. A marginal</w:t>
      </w:r>
    </w:p>
    <w:p w14:paraId="10EC815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resection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involves a margin formed by reactive tissue surrounding the tumor. A wide radical resection has surgical</w:t>
      </w:r>
    </w:p>
    <w:p w14:paraId="5C2A2F1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margins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that extend through normal tissue, usually external to the anatomic compartment containing the tumor.</w:t>
      </w:r>
    </w:p>
    <w:p w14:paraId="595D21F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For all types of resections, marking (tattoo with ink followed by use of a mordant) and orientation of the specimen</w:t>
      </w:r>
    </w:p>
    <w:p w14:paraId="64ED5C7E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A30ADC">
        <w:rPr>
          <w:rFonts w:ascii="Times New Roman" w:hAnsi="Times New Roman" w:cs="Times New Roman"/>
          <w:sz w:val="32"/>
          <w:szCs w:val="32"/>
        </w:rPr>
        <w:t>prior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to cutting) by the surgeon are highly recommended for accurate pathologic evaluation.3 Full representative</w:t>
      </w:r>
    </w:p>
    <w:p w14:paraId="01024477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mapping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of the specimen is also recommended,3 as discussed below.</w:t>
      </w:r>
    </w:p>
    <w:p w14:paraId="4F0931E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A full sagittal section of a bone tumor resection specimen</w:t>
      </w:r>
      <w:proofErr w:type="gramStart"/>
      <w:r w:rsidRPr="00A30ADC">
        <w:rPr>
          <w:rFonts w:ascii="Times New Roman" w:hAnsi="Times New Roman" w:cs="Times New Roman"/>
          <w:sz w:val="32"/>
          <w:szCs w:val="32"/>
        </w:rPr>
        <w:t>,5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as illustrated in Figure 1, allows for mapping of the</w:t>
      </w:r>
    </w:p>
    <w:p w14:paraId="2ECCD00D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entire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central face of the tumor and adjacent marginal tissue. Sectioning the specimen in a longitudinal plane that</w:t>
      </w:r>
    </w:p>
    <w:p w14:paraId="02565333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allows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for evaluation of the tumor in its greatest cross-sectional dimension is important. Soft tissue and bone</w:t>
      </w:r>
    </w:p>
    <w:p w14:paraId="44C2822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marrow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margins should be inked and taken prior to sectioning the specimen with both amputation and limb</w:t>
      </w:r>
    </w:p>
    <w:p w14:paraId="51B17730" w14:textId="7CE57579" w:rsidR="009E1539" w:rsidRPr="00A30ADC" w:rsidRDefault="009E1539" w:rsidP="001E33A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salvage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specimens. Freezing of the specimen and cutting with a bone saw (with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intraosseous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specimens) is the</w:t>
      </w:r>
    </w:p>
    <w:p w14:paraId="20364109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preferred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method. This face of the specimen should be documented using digital imaging photography or</w:t>
      </w:r>
    </w:p>
    <w:p w14:paraId="5C69AC8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alternatively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by a photocopy of the specimen when sealed in a </w:t>
      </w:r>
      <w:r w:rsidRPr="00A30ADC">
        <w:rPr>
          <w:rFonts w:ascii="Times New Roman" w:hAnsi="Times New Roman" w:cs="Times New Roman"/>
          <w:sz w:val="32"/>
          <w:szCs w:val="32"/>
        </w:rPr>
        <w:lastRenderedPageBreak/>
        <w:t>plastic bag. As shown in Figure 1 of an amputation</w:t>
      </w:r>
    </w:p>
    <w:p w14:paraId="5D0C314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specimen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with soft tissue in place, the central full face of the specimen and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lesional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region can be mapped and</w:t>
      </w:r>
    </w:p>
    <w:p w14:paraId="37CB24C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blocked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following fixation and with adequate decalcification for complete microscopic examination, including</w:t>
      </w:r>
    </w:p>
    <w:p w14:paraId="074F5BD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estimate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of percentage of tumor necrosis. Use of a commercially available formic acid-formaldehyde</w:t>
      </w:r>
    </w:p>
    <w:p w14:paraId="0A82DD4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decalcification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solution is recommended, as this provides a less harsh decalcification method and allows for</w:t>
      </w:r>
    </w:p>
    <w:p w14:paraId="59700A5E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retention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of antigens for immunohistochemistry and preservation of DNA for possible molecular studies on</w:t>
      </w:r>
    </w:p>
    <w:p w14:paraId="3A4A919D" w14:textId="77777777" w:rsidR="009E1539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formalin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-fixed paraffin-embedded tissue.</w:t>
      </w:r>
    </w:p>
    <w:p w14:paraId="1348750A" w14:textId="77777777" w:rsidR="00696E87" w:rsidRDefault="00696E87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5DBEC916" w14:textId="74AAC4F6" w:rsidR="00696E87" w:rsidRDefault="00696E87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285900" wp14:editId="6D2822FE">
            <wp:extent cx="4229100" cy="2718006"/>
            <wp:effectExtent l="0" t="0" r="0" b="0"/>
            <wp:docPr id="2" name="Picture 1" descr="Mac:Users:paekho:Desktop:Protocol for the Examination of Specimens From Pediatric Patients With Ewing Sarcoma (ES)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:Users:paekho:Desktop:Protocol for the Examination of Specimens From Pediatric Patients With Ewing Sarcoma (ES)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71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543A1" w14:textId="77777777" w:rsidR="00696E87" w:rsidRPr="00A30ADC" w:rsidRDefault="00696E87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5D8BE410" w14:textId="73661444" w:rsidR="009E1539" w:rsidRPr="00696E87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96E87">
        <w:rPr>
          <w:rFonts w:ascii="Times New Roman" w:hAnsi="Times New Roman" w:cs="Times New Roman"/>
        </w:rPr>
        <w:t xml:space="preserve">Figure 1. Grid diagram of histologic sections taken, superimposed on photograph of a </w:t>
      </w:r>
      <w:proofErr w:type="spellStart"/>
      <w:proofErr w:type="gramStart"/>
      <w:r w:rsidRPr="00696E87">
        <w:rPr>
          <w:rFonts w:ascii="Times New Roman" w:hAnsi="Times New Roman" w:cs="Times New Roman"/>
        </w:rPr>
        <w:t>sagittally</w:t>
      </w:r>
      <w:proofErr w:type="spellEnd"/>
      <w:r w:rsidRPr="00696E87">
        <w:rPr>
          <w:rFonts w:ascii="Times New Roman" w:hAnsi="Times New Roman" w:cs="Times New Roman"/>
        </w:rPr>
        <w:t>-sectioned</w:t>
      </w:r>
      <w:proofErr w:type="gramEnd"/>
      <w:r w:rsidRPr="00696E87">
        <w:rPr>
          <w:rFonts w:ascii="Times New Roman" w:hAnsi="Times New Roman" w:cs="Times New Roman"/>
        </w:rPr>
        <w:t xml:space="preserve"> amputation</w:t>
      </w:r>
      <w:r w:rsidR="0051336A">
        <w:rPr>
          <w:rFonts w:ascii="Times New Roman" w:hAnsi="Times New Roman" w:cs="Times New Roman"/>
        </w:rPr>
        <w:t xml:space="preserve"> </w:t>
      </w:r>
      <w:r w:rsidRPr="00696E87">
        <w:rPr>
          <w:rFonts w:ascii="Times New Roman" w:hAnsi="Times New Roman" w:cs="Times New Roman"/>
        </w:rPr>
        <w:t>specimen including the distal femur and proximal tibia.</w:t>
      </w:r>
    </w:p>
    <w:p w14:paraId="09D89DFE" w14:textId="77777777" w:rsidR="001E33A5" w:rsidRPr="00A30ADC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5AB92C87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r w:rsidRPr="001E33A5">
        <w:rPr>
          <w:rFonts w:ascii="Times New Roman" w:hAnsi="Times New Roman" w:cs="Times New Roman"/>
          <w:b/>
          <w:sz w:val="32"/>
          <w:szCs w:val="32"/>
        </w:rPr>
        <w:t>C. Extent of Tumor</w:t>
      </w:r>
    </w:p>
    <w:p w14:paraId="0CEE1468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Tumors involving the soft tissue of the chest wall and/or the ribs, without conclusive evidence of origin from bone</w:t>
      </w:r>
    </w:p>
    <w:p w14:paraId="249199B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Askin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tumors), should be denoted as “chest wall.”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Medulloblastomas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and primitive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neuroectodermal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tumors of the</w:t>
      </w:r>
    </w:p>
    <w:p w14:paraId="00C2192F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central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nervous system (CNS) are pathologically different neoplasms and should not be included in this protocol.</w:t>
      </w:r>
    </w:p>
    <w:p w14:paraId="314CD98C" w14:textId="77777777" w:rsidR="009E1539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However, intracranial ES originating in non-CNS soft tissues such as the meninges should be included.</w:t>
      </w:r>
    </w:p>
    <w:p w14:paraId="5631D6A4" w14:textId="77777777" w:rsidR="001E33A5" w:rsidRPr="00A30ADC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6C428F8C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r w:rsidRPr="001E33A5">
        <w:rPr>
          <w:rFonts w:ascii="Times New Roman" w:hAnsi="Times New Roman" w:cs="Times New Roman"/>
          <w:b/>
          <w:sz w:val="32"/>
          <w:szCs w:val="32"/>
        </w:rPr>
        <w:t>D. Margins</w:t>
      </w:r>
    </w:p>
    <w:p w14:paraId="5089E25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The extent of resection (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ie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, gross residual disease versus complete resection with negative margins) has the</w:t>
      </w:r>
    </w:p>
    <w:p w14:paraId="54BCD1D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strongest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influence on local control of malignancy.6,7 The definition of what constitutes a sufficiently “wide” margin</w:t>
      </w:r>
    </w:p>
    <w:p w14:paraId="6ACADB5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of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normal tissue in the management of ES and the significance of reactive and/or necrotic tissue at the margin are</w:t>
      </w:r>
    </w:p>
    <w:p w14:paraId="034DF90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current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study questions for the Children’s Oncology Group, and </w:t>
      </w:r>
      <w:r w:rsidRPr="00A30ADC">
        <w:rPr>
          <w:rFonts w:ascii="Times New Roman" w:hAnsi="Times New Roman" w:cs="Times New Roman"/>
          <w:sz w:val="32"/>
          <w:szCs w:val="32"/>
        </w:rPr>
        <w:lastRenderedPageBreak/>
        <w:t>may evolve in the future. Currently, any tumor at</w:t>
      </w:r>
    </w:p>
    <w:p w14:paraId="6156E8E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margin, either viable, nonviable, or treated, is considered positive. The significance of treated tumor at the</w:t>
      </w:r>
    </w:p>
    <w:p w14:paraId="5E3155E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margin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when there has been an excellent chemotherapeutic response (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ie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, &gt;90% tumor necrosis) remains unclear.</w:t>
      </w:r>
    </w:p>
    <w:p w14:paraId="25B8B4E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There is currently no consensus as to whether margins involved by treated tumor require further treatment, and</w:t>
      </w:r>
    </w:p>
    <w:p w14:paraId="3A0056FC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this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is considered a negative margin on some studies. The presence of treated tumor at the margin should be</w:t>
      </w:r>
    </w:p>
    <w:p w14:paraId="3A15D851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reported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, however, and can be included in the comment section of the checklist. The following margins are</w:t>
      </w:r>
    </w:p>
    <w:p w14:paraId="73185BF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considered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adequate:</w:t>
      </w:r>
    </w:p>
    <w:p w14:paraId="088BEF17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Bone margin: 2 to 5 cm</w:t>
      </w:r>
    </w:p>
    <w:p w14:paraId="7B600438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Fascia,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periosteum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, and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intermuscular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septa: 2 mm</w:t>
      </w:r>
    </w:p>
    <w:p w14:paraId="2D8EC16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Fat, muscle, and medullary bone: 5 mm</w:t>
      </w:r>
    </w:p>
    <w:p w14:paraId="589E0CA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With Ewing sarcoma involving an encapsulated organ, surgical margins are considered to be negative if the</w:t>
      </w:r>
    </w:p>
    <w:p w14:paraId="4257DE53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organ’s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capsule is not surgically violated or breached by the tumor.</w:t>
      </w:r>
    </w:p>
    <w:p w14:paraId="569C2B43" w14:textId="5104225A" w:rsidR="009E1539" w:rsidRPr="00A30ADC" w:rsidRDefault="009E1539" w:rsidP="001E33A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0348401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r w:rsidRPr="001E33A5">
        <w:rPr>
          <w:rFonts w:ascii="Times New Roman" w:hAnsi="Times New Roman" w:cs="Times New Roman"/>
          <w:b/>
          <w:sz w:val="32"/>
          <w:szCs w:val="32"/>
        </w:rPr>
        <w:t>E. Lymph-Vascular Invasion (LVI)</w:t>
      </w:r>
    </w:p>
    <w:p w14:paraId="39B8EBF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spellStart"/>
      <w:r w:rsidRPr="00A30ADC">
        <w:rPr>
          <w:rFonts w:ascii="Times New Roman" w:hAnsi="Times New Roman" w:cs="Times New Roman"/>
          <w:sz w:val="32"/>
          <w:szCs w:val="32"/>
        </w:rPr>
        <w:t>Lymphovascular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invasion (LVI) indicates whether microscopic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lymphovascular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invasion is identified in the</w:t>
      </w:r>
    </w:p>
    <w:p w14:paraId="06410EC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pathology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report. LVI includes lymphatic invasion, vascular invasion, or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lymphovascular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invasion. Evaluation of</w:t>
      </w:r>
    </w:p>
    <w:p w14:paraId="08E12DBC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LVI may require immunohistochemical staining for endothelial markers (CD31, CD34, D240,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). By American</w:t>
      </w:r>
    </w:p>
    <w:p w14:paraId="41A42A5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Joint Committee on Cancer (AJCC) and International Union Against Cancer (UICC) convention, LVI does not</w:t>
      </w:r>
    </w:p>
    <w:p w14:paraId="51F80E9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affect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the T category indicating local extent of tumor unless specifically included in the definition of the T category.</w:t>
      </w:r>
    </w:p>
    <w:p w14:paraId="26A6A931" w14:textId="77777777" w:rsid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4537970" w14:textId="62B5961D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1E33A5">
        <w:rPr>
          <w:rFonts w:ascii="Times New Roman" w:hAnsi="Times New Roman" w:cs="Times New Roman"/>
          <w:b/>
          <w:sz w:val="32"/>
          <w:szCs w:val="32"/>
        </w:rPr>
        <w:t>F. Prognostic Factors</w:t>
      </w:r>
    </w:p>
    <w:p w14:paraId="0166905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Typically, ES has a lobular growth pattern consisting of tumor cells that are distinctly monotonous in their nuclear</w:t>
      </w:r>
    </w:p>
    <w:p w14:paraId="56BBF421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uniformity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. Nuclei measure 10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μm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to 15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μm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in diameter with distinct nuclear membranes, finely granular</w:t>
      </w:r>
    </w:p>
    <w:p w14:paraId="03917B5F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chromatin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, and 1 to 2 inconspicuous nucleoli. Cytoplasm is poorly defined, scant, pale-staining, and may be</w:t>
      </w:r>
    </w:p>
    <w:p w14:paraId="7F36A13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vacuolated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due to irregular glycogen deposition. Atypical variants may show increased nuclear size, more</w:t>
      </w:r>
    </w:p>
    <w:p w14:paraId="6DD45DB3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pronounced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atypia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, and increased mitotic activity. Multinucleate giant cells are not seen. Large areas of tumor</w:t>
      </w:r>
    </w:p>
    <w:p w14:paraId="071B933E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necrosis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with “ghost-like tumor cells” may be striking and in some biopsy specimens may represent the majority of</w:t>
      </w:r>
    </w:p>
    <w:p w14:paraId="47EC64B3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tumor. Areas of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neuroectodermal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differentiation (Homer-Wright rosettes; rarely Flexner-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Wintersteiner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rosettes</w:t>
      </w:r>
    </w:p>
    <w:p w14:paraId="52E0033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lastRenderedPageBreak/>
        <w:t>or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primitive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neuroepithelium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) may be evident in some tumors.</w:t>
      </w:r>
    </w:p>
    <w:p w14:paraId="76E7324F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Currently,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extraosseous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Ewing sarcoma receives identical therapy as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intraosseous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Ewing sarcoma. There are no</w:t>
      </w:r>
    </w:p>
    <w:p w14:paraId="1E81F3C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0ADC">
        <w:rPr>
          <w:rFonts w:ascii="Times New Roman" w:hAnsi="Times New Roman" w:cs="Times New Roman"/>
          <w:sz w:val="32"/>
          <w:szCs w:val="32"/>
        </w:rPr>
        <w:t>histopathologic</w:t>
      </w:r>
      <w:proofErr w:type="spellEnd"/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ES subtypes that possess an established prognostic importance.8</w:t>
      </w:r>
    </w:p>
    <w:p w14:paraId="7A726638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A summary of the prognostic factors is detailed below.9 </w:t>
      </w:r>
      <w:proofErr w:type="gramStart"/>
      <w:r w:rsidRPr="00A30ADC">
        <w:rPr>
          <w:rFonts w:ascii="Times New Roman" w:hAnsi="Times New Roman" w:cs="Times New Roman"/>
          <w:sz w:val="32"/>
          <w:szCs w:val="32"/>
        </w:rPr>
        <w:t>Of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all prognostic factors, age at onset, tumor size, site,</w:t>
      </w:r>
    </w:p>
    <w:p w14:paraId="11C86A62" w14:textId="77777777" w:rsidR="009E1539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and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stage have proven to be the most important in predicting outcome.</w:t>
      </w:r>
    </w:p>
    <w:p w14:paraId="6B4CC427" w14:textId="77777777" w:rsidR="001E33A5" w:rsidRPr="00A30ADC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50A5E4C7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Factor Favorable Prognosis Unfavorable Prognosis</w:t>
      </w:r>
    </w:p>
    <w:p w14:paraId="0746827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Age &lt;10 years (EFS 69%);</w:t>
      </w:r>
    </w:p>
    <w:p w14:paraId="3707860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10-17 years (EFS 74%)</w:t>
      </w:r>
    </w:p>
    <w:p w14:paraId="36AD142E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≥18 years (EFS 44%)</w:t>
      </w:r>
    </w:p>
    <w:p w14:paraId="28EC028D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Site Distal extremity (EFS 74%);</w:t>
      </w:r>
    </w:p>
    <w:p w14:paraId="012AACE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Proximal extremity (EFS 62%)</w:t>
      </w:r>
    </w:p>
    <w:p w14:paraId="5D37A69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Pelvis (EFS 50%)</w:t>
      </w:r>
    </w:p>
    <w:p w14:paraId="3AFE705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Size &lt;8 cm greatest diameter (EFS 75%) ≥8 cm in greatest dimension (EFS 55%)</w:t>
      </w:r>
    </w:p>
    <w:p w14:paraId="4E292A4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Stage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Nonmetastatic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tumor</w:t>
      </w:r>
    </w:p>
    <w:p w14:paraId="1C47A9C1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(EFS approximately 70%)</w:t>
      </w:r>
    </w:p>
    <w:p w14:paraId="0448214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Metastatic tumor (EFS approxi</w:t>
      </w:r>
      <w:bookmarkStart w:id="0" w:name="_GoBack"/>
      <w:bookmarkEnd w:id="0"/>
      <w:r w:rsidRPr="00A30ADC">
        <w:rPr>
          <w:rFonts w:ascii="Times New Roman" w:hAnsi="Times New Roman" w:cs="Times New Roman"/>
          <w:sz w:val="32"/>
          <w:szCs w:val="32"/>
        </w:rPr>
        <w:t>mately 20%)</w:t>
      </w:r>
    </w:p>
    <w:p w14:paraId="5E31D4FE" w14:textId="77777777" w:rsidR="009E1539" w:rsidRPr="00E93909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E93909">
        <w:rPr>
          <w:rFonts w:ascii="Times New Roman" w:hAnsi="Times New Roman" w:cs="Times New Roman"/>
        </w:rPr>
        <w:t>Definition: EFS, event-free survival.</w:t>
      </w:r>
    </w:p>
    <w:p w14:paraId="7B0E0267" w14:textId="77777777" w:rsidR="001E33A5" w:rsidRPr="00A30ADC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38C50E8F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Histologic response to chemotherapy is an excellent predictor of outcome in osteosarcomas and may also be of</w:t>
      </w:r>
    </w:p>
    <w:p w14:paraId="7ACC483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value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in ES. However, the evaluation of percentage necrosis in ES can be difficult, because unlike osteosarcoma,</w:t>
      </w:r>
    </w:p>
    <w:p w14:paraId="09FB054E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there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is no residual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acellular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osteoid framework left to demarcate the original tumor bed. Furthermore, data</w:t>
      </w:r>
    </w:p>
    <w:p w14:paraId="7E07321C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regarding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correlation of necrosis with outcome in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extraosseous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ES is not available. Currently, histologic</w:t>
      </w:r>
    </w:p>
    <w:p w14:paraId="751A65E3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assessment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of percentage necrosis is not used formally to guide therapy in ES; however, it is recommended that</w:t>
      </w:r>
    </w:p>
    <w:p w14:paraId="10C3B047" w14:textId="77777777" w:rsidR="009E1539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report includes the estimated percentage of necrosis.</w:t>
      </w:r>
    </w:p>
    <w:p w14:paraId="637F1B88" w14:textId="77777777" w:rsidR="001E33A5" w:rsidRPr="00A30ADC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3E4E3C2E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r w:rsidRPr="001E33A5">
        <w:rPr>
          <w:rFonts w:ascii="Times New Roman" w:hAnsi="Times New Roman" w:cs="Times New Roman"/>
          <w:b/>
          <w:sz w:val="32"/>
          <w:szCs w:val="32"/>
        </w:rPr>
        <w:t>G. Ancillary Studies</w:t>
      </w:r>
    </w:p>
    <w:p w14:paraId="5A6786E1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u w:val="single"/>
        </w:rPr>
      </w:pPr>
      <w:r w:rsidRPr="001E33A5">
        <w:rPr>
          <w:rFonts w:ascii="Times New Roman" w:hAnsi="Times New Roman" w:cs="Times New Roman"/>
          <w:sz w:val="32"/>
          <w:szCs w:val="32"/>
          <w:u w:val="single"/>
        </w:rPr>
        <w:t>Immunohistochemistry</w:t>
      </w:r>
    </w:p>
    <w:p w14:paraId="50AE3B3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Immunohistochemistry with monoclonal antibodies against the cell surface glycoprotein CD99 is positive in</w:t>
      </w:r>
    </w:p>
    <w:p w14:paraId="472329F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virtually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all cases of ES.10 This glycoprotein is diffusely expressed in the vast majority of cases in a membranous</w:t>
      </w:r>
    </w:p>
    <w:p w14:paraId="2B0CBE6C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pattern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(Figure 2). The results of staining using monoclonal antibodies O13, HBA71, and 12E7 are similar, but</w:t>
      </w:r>
    </w:p>
    <w:p w14:paraId="22F1EDBB" w14:textId="77777777" w:rsidR="009E1539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individual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tumors may exhibit better staining with one of these antibodies versus other antibodies.</w:t>
      </w:r>
    </w:p>
    <w:p w14:paraId="448EAC77" w14:textId="77777777" w:rsidR="003635B9" w:rsidRDefault="003635B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307B1950" w14:textId="3A939FEC" w:rsidR="003635B9" w:rsidRPr="00A30ADC" w:rsidRDefault="003635B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C6AE2E5" wp14:editId="720F88F8">
            <wp:extent cx="3200400" cy="2222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col for the Examination of Specimens From Pediatric Patients With Ewing Sarcoma (ES)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956" cy="22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903B" w14:textId="1E5022D3" w:rsidR="009E1539" w:rsidRDefault="009E1539" w:rsidP="001E33A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913CFF8" w14:textId="189737CF" w:rsidR="003635B9" w:rsidRDefault="003635B9" w:rsidP="00363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635B9">
        <w:rPr>
          <w:rFonts w:ascii="Times New Roman" w:hAnsi="Times New Roman" w:cs="Times New Roman"/>
        </w:rPr>
        <w:t>Figure 2. CD99 staining in Ewing sarcoma shows strong, diffuse, membranous staining. (CD99 antibody O13 with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3635B9">
        <w:rPr>
          <w:rFonts w:ascii="Times New Roman" w:hAnsi="Times New Roman" w:cs="Times New Roman"/>
        </w:rPr>
        <w:t>hematoxylin</w:t>
      </w:r>
      <w:proofErr w:type="spellEnd"/>
      <w:r w:rsidRPr="003635B9">
        <w:rPr>
          <w:rFonts w:ascii="Times New Roman" w:hAnsi="Times New Roman" w:cs="Times New Roman"/>
        </w:rPr>
        <w:t xml:space="preserve"> counterstain.)</w:t>
      </w:r>
    </w:p>
    <w:p w14:paraId="7C44BB3D" w14:textId="77777777" w:rsidR="003635B9" w:rsidRPr="003635B9" w:rsidRDefault="003635B9" w:rsidP="00363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782EC5E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Lymphoblastic lymphomas/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leukemias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rhabdomyosarcomas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, synovial sarcomas, solitary fibrous tumors,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rhabdoid</w:t>
      </w:r>
      <w:proofErr w:type="spellEnd"/>
    </w:p>
    <w:p w14:paraId="04B2B03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tumors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, neuroendocrine tumors,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desmoplastic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small round cell tumors, and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mesenchymal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chondrosarcomas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may</w:t>
      </w:r>
    </w:p>
    <w:p w14:paraId="561DD357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also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demonstrate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immunoreactivity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to CD99.8 In some of these tumors, CD99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immunostaining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is often weakly</w:t>
      </w:r>
    </w:p>
    <w:p w14:paraId="5141896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granular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intracytoplasmic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; in others (lymphoblastic lymphoma/leukemia, occasional cases of poorly</w:t>
      </w:r>
    </w:p>
    <w:p w14:paraId="5A40CAE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differentiated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synovial sarcoma, alveolar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rhabdomyosarcoma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), distinct membrane staining is present, as seen in</w:t>
      </w:r>
    </w:p>
    <w:p w14:paraId="02B49FE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ES. Because these other tumors with small round cell morphology can exhibit CD99 expression, it is very</w:t>
      </w:r>
    </w:p>
    <w:p w14:paraId="66679CFC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important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to consider including other immunohistochemical stains such as muscle markers (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desmin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musclespecific</w:t>
      </w:r>
      <w:proofErr w:type="spellEnd"/>
    </w:p>
    <w:p w14:paraId="2FFE6C9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actin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, myoD1,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myogenin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), S-100, epithelial markers (epithelial membrane antigen, cytokeratin), INI-1, and</w:t>
      </w:r>
    </w:p>
    <w:p w14:paraId="4E9946D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lymphoid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markers (CD45, CD30,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Tdt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, T-cell and/or B-cell markers) when CD99 is performed to properly exclude</w:t>
      </w:r>
    </w:p>
    <w:p w14:paraId="69402383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CD99-expressing tumors. Cytokeratin positivity may be seen in ES and may be diffusely positive in the</w:t>
      </w:r>
    </w:p>
    <w:p w14:paraId="5C9F3E4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0ADC">
        <w:rPr>
          <w:rFonts w:ascii="Times New Roman" w:hAnsi="Times New Roman" w:cs="Times New Roman"/>
          <w:sz w:val="32"/>
          <w:szCs w:val="32"/>
        </w:rPr>
        <w:t>adamantinoma</w:t>
      </w:r>
      <w:proofErr w:type="spellEnd"/>
      <w:proofErr w:type="gramEnd"/>
      <w:r w:rsidRPr="00A30ADC">
        <w:rPr>
          <w:rFonts w:ascii="Times New Roman" w:hAnsi="Times New Roman" w:cs="Times New Roman"/>
          <w:sz w:val="32"/>
          <w:szCs w:val="32"/>
        </w:rPr>
        <w:t>-like variant of Ewing sarcoma.11,12 The value of other immunohistochemical markers for diagnosis,</w:t>
      </w:r>
    </w:p>
    <w:p w14:paraId="6424A333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such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as Ki-67, p53, and C-kit (CD117), has not been established. ES is almost always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vimentin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immunopositive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.</w:t>
      </w:r>
    </w:p>
    <w:p w14:paraId="0354BA25" w14:textId="77777777" w:rsidR="001E33A5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u w:val="single"/>
        </w:rPr>
      </w:pPr>
    </w:p>
    <w:p w14:paraId="6C95B5F7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u w:val="single"/>
        </w:rPr>
      </w:pPr>
      <w:r w:rsidRPr="001E33A5">
        <w:rPr>
          <w:rFonts w:ascii="Times New Roman" w:hAnsi="Times New Roman" w:cs="Times New Roman"/>
          <w:sz w:val="32"/>
          <w:szCs w:val="32"/>
          <w:u w:val="single"/>
        </w:rPr>
        <w:t>Chromosomal Translocations</w:t>
      </w:r>
    </w:p>
    <w:p w14:paraId="4672A7C9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It is now generally accepted that Ewing sarcoma and PNET form a single group of bone and soft tissue tumors</w:t>
      </w:r>
    </w:p>
    <w:p w14:paraId="379BA8F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and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the 2013 World Health Organization (WHO) classification of bone and soft tissue tumors uses the single</w:t>
      </w:r>
    </w:p>
    <w:p w14:paraId="69AD77CC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terminology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, Ewing sarcoma. The characteristic translocations involve the EWSR1 gene at 22q12 and either the</w:t>
      </w:r>
    </w:p>
    <w:p w14:paraId="3ED9C12C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FLI1 gene at 11q24 or the ERG gene at 21q22.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The presence of </w:t>
      </w:r>
      <w:proofErr w:type="gramStart"/>
      <w:r w:rsidRPr="00A30ADC">
        <w:rPr>
          <w:rFonts w:ascii="Times New Roman" w:hAnsi="Times New Roman" w:cs="Times New Roman"/>
          <w:sz w:val="32"/>
          <w:szCs w:val="32"/>
        </w:rPr>
        <w:t>t(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11;22) (EWSR1-FLI1) and t(21;22) (EWSR1-</w:t>
      </w:r>
    </w:p>
    <w:p w14:paraId="42D49CAF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lastRenderedPageBreak/>
        <w:t>ERG) is strongly correlated with ES. The most common gene fusion is the EWSR1-FLI1 (90% to 95% of patients).</w:t>
      </w:r>
    </w:p>
    <w:p w14:paraId="718BCE6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It should be emphasized that there are numerous other EWSR1 gene partners that occur in a minority (5% to</w:t>
      </w:r>
    </w:p>
    <w:p w14:paraId="1B79FD51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10%) of ES.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The failure to identify an EWSR1-FLI or EWSR1-ERG translocation by RT-PCR or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cytogenetics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does</w:t>
      </w:r>
    </w:p>
    <w:p w14:paraId="31F7D36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not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exclude ES from the diagnosis. Cytogenetic studies are important for identification of the less common and</w:t>
      </w:r>
    </w:p>
    <w:p w14:paraId="0B7530F8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rare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ES translocations and for discovering novel EWSR1 translocations in ES. FISH analysis for EWSR1 is</w:t>
      </w:r>
    </w:p>
    <w:p w14:paraId="29E44FD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helpful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as a first step and may confirm the diagnosis in those tumors with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histomorphologic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features and</w:t>
      </w:r>
    </w:p>
    <w:p w14:paraId="36D6E7D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immunohistochemical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phenotypes of ES. Because other small round cell tumors of childhood can have EWSR1</w:t>
      </w:r>
    </w:p>
    <w:p w14:paraId="6D88A739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rearrangements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with specific tumor-defining partners, EWSR1 FISH positivity alone is not diagnostic of ES. Some</w:t>
      </w:r>
    </w:p>
    <w:p w14:paraId="2E843589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of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these tumors with EWSR1 rearrangement include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angiomatoid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fibrous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histiocytoma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, clear cell sarcoma of soft</w:t>
      </w:r>
    </w:p>
    <w:p w14:paraId="21069E1D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parts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desmoplastic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round cell tumor, and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extraskeletal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myxoid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chondrosarcoma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, as well as a subset of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myxoid</w:t>
      </w:r>
      <w:proofErr w:type="spellEnd"/>
    </w:p>
    <w:p w14:paraId="15EC941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A30ADC">
        <w:rPr>
          <w:rFonts w:ascii="Times New Roman" w:hAnsi="Times New Roman" w:cs="Times New Roman"/>
          <w:sz w:val="32"/>
          <w:szCs w:val="32"/>
        </w:rPr>
        <w:t>liposarcomas</w:t>
      </w:r>
      <w:proofErr w:type="spellEnd"/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myoepithelial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carcinoma. This underscores the necessity for histologic and</w:t>
      </w:r>
    </w:p>
    <w:p w14:paraId="2FFA93E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immunohistochemical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correlation with FISH and/or cytogenetic data.13</w:t>
      </w:r>
    </w:p>
    <w:p w14:paraId="3B097C7B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Some of the less common ES translocations include: </w:t>
      </w:r>
      <w:proofErr w:type="gramStart"/>
      <w:r w:rsidRPr="00A30ADC">
        <w:rPr>
          <w:rFonts w:ascii="Times New Roman" w:hAnsi="Times New Roman" w:cs="Times New Roman"/>
          <w:sz w:val="32"/>
          <w:szCs w:val="32"/>
        </w:rPr>
        <w:t>t(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7;22)(p22;q12) EWSR1-ETV1, t(17;22)(q12;q12) EWSR1-</w:t>
      </w:r>
    </w:p>
    <w:p w14:paraId="75F959E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E1AF, </w:t>
      </w:r>
      <w:proofErr w:type="gramStart"/>
      <w:r w:rsidRPr="00A30ADC">
        <w:rPr>
          <w:rFonts w:ascii="Times New Roman" w:hAnsi="Times New Roman" w:cs="Times New Roman"/>
          <w:sz w:val="32"/>
          <w:szCs w:val="32"/>
        </w:rPr>
        <w:t>t(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>2;22)(q33;q12) EWSR1-FEV, and t(1;22)(p36;q12) EWSR1-ZSG. In addition, rare cases of ES have been</w:t>
      </w:r>
    </w:p>
    <w:p w14:paraId="79FB6109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associated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with gene rearrangements involving the FUS gene, and ES-like tumors have been described with CICDUX4</w:t>
      </w:r>
    </w:p>
    <w:p w14:paraId="3BC6A05D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and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BCOR–CCNB3.14</w:t>
      </w:r>
    </w:p>
    <w:p w14:paraId="4E02E0A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The diagnosis of ES is not dependent upon identifying a “tumor-defining” translocation and may be rendered with</w:t>
      </w:r>
    </w:p>
    <w:p w14:paraId="5F70805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appropriate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histomorphologic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and immunohistochemical features. The specific EWSR1 translocation and</w:t>
      </w:r>
    </w:p>
    <w:p w14:paraId="79F7789E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subtype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based upon exon fusion type do not influence treatment, prognosis, or outcome.</w:t>
      </w:r>
      <w:r w:rsidRPr="001E33A5">
        <w:rPr>
          <w:rFonts w:ascii="Times New Roman" w:hAnsi="Times New Roman" w:cs="Times New Roman"/>
          <w:sz w:val="18"/>
          <w:szCs w:val="18"/>
        </w:rPr>
        <w:t>15</w:t>
      </w:r>
    </w:p>
    <w:p w14:paraId="3470615C" w14:textId="6475C779" w:rsidR="009E1539" w:rsidRPr="00A30ADC" w:rsidRDefault="009E1539" w:rsidP="001E33A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653C656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  <w:u w:val="single"/>
        </w:rPr>
      </w:pPr>
      <w:r w:rsidRPr="001E33A5">
        <w:rPr>
          <w:rFonts w:ascii="Times New Roman" w:hAnsi="Times New Roman" w:cs="Times New Roman"/>
          <w:sz w:val="32"/>
          <w:szCs w:val="32"/>
          <w:u w:val="single"/>
        </w:rPr>
        <w:t>Electron Microscopy</w:t>
      </w:r>
    </w:p>
    <w:p w14:paraId="66ECA8C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spellStart"/>
      <w:r w:rsidRPr="00A30ADC">
        <w:rPr>
          <w:rFonts w:ascii="Times New Roman" w:hAnsi="Times New Roman" w:cs="Times New Roman"/>
          <w:sz w:val="32"/>
          <w:szCs w:val="32"/>
        </w:rPr>
        <w:t>Ultrastructural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studies are valuable despite the putative diagnostic power of immunohistochemistry and molecular</w:t>
      </w:r>
    </w:p>
    <w:p w14:paraId="2012FA50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studies.16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ES tumor cells usually have limited cytoplasmic organelles. Some cytoplasmic regions may contain an</w:t>
      </w:r>
    </w:p>
    <w:p w14:paraId="13198EC1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increased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amount of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polyparticulate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glycogen. The latter correspond to the classical “dot-positivity” noted with the</w:t>
      </w:r>
    </w:p>
    <w:p w14:paraId="568644B9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periodic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acid-Schiff stain. Furthermore, one may also find </w:t>
      </w:r>
      <w:r w:rsidRPr="00A30ADC">
        <w:rPr>
          <w:rFonts w:ascii="Times New Roman" w:hAnsi="Times New Roman" w:cs="Times New Roman"/>
          <w:sz w:val="32"/>
          <w:szCs w:val="32"/>
        </w:rPr>
        <w:lastRenderedPageBreak/>
        <w:t xml:space="preserve">intermediate filaments corresponding to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vimentin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and</w:t>
      </w:r>
    </w:p>
    <w:p w14:paraId="78075966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cytokeratin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. In those tumors with neuroendocrine differentiation,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neurosecretory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 xml:space="preserve"> granules may occur, but they are</w:t>
      </w:r>
    </w:p>
    <w:p w14:paraId="4CFDA959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pleomorphic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and larger than the 100-nm diameter spherical granules of </w:t>
      </w:r>
      <w:proofErr w:type="spellStart"/>
      <w:r w:rsidRPr="00A30ADC">
        <w:rPr>
          <w:rFonts w:ascii="Times New Roman" w:hAnsi="Times New Roman" w:cs="Times New Roman"/>
          <w:sz w:val="32"/>
          <w:szCs w:val="32"/>
        </w:rPr>
        <w:t>neuroblastoma</w:t>
      </w:r>
      <w:proofErr w:type="spellEnd"/>
      <w:r w:rsidRPr="00A30ADC">
        <w:rPr>
          <w:rFonts w:ascii="Times New Roman" w:hAnsi="Times New Roman" w:cs="Times New Roman"/>
          <w:sz w:val="32"/>
          <w:szCs w:val="32"/>
        </w:rPr>
        <w:t>. Intermediate-type</w:t>
      </w:r>
    </w:p>
    <w:p w14:paraId="3A568895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junctions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are often present, but true desmosomes are not usually seen.</w:t>
      </w:r>
    </w:p>
    <w:p w14:paraId="2F3DDEFC" w14:textId="77777777" w:rsidR="001E33A5" w:rsidRDefault="001E33A5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</w:p>
    <w:p w14:paraId="24C2A063" w14:textId="77777777" w:rsidR="009E1539" w:rsidRPr="001E33A5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 xml:space="preserve"> </w:t>
      </w:r>
      <w:r w:rsidRPr="001E33A5">
        <w:rPr>
          <w:rFonts w:ascii="Times New Roman" w:hAnsi="Times New Roman" w:cs="Times New Roman"/>
          <w:b/>
          <w:sz w:val="32"/>
          <w:szCs w:val="32"/>
        </w:rPr>
        <w:t>H. TNM and Stage Groupings</w:t>
      </w:r>
    </w:p>
    <w:p w14:paraId="598FAACA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The AJCC/UICC TNM staging system for bone or soft tissue tumors17</w:t>
      </w:r>
      <w:proofErr w:type="gramStart"/>
      <w:r w:rsidRPr="00A30ADC">
        <w:rPr>
          <w:rFonts w:ascii="Times New Roman" w:hAnsi="Times New Roman" w:cs="Times New Roman"/>
          <w:sz w:val="32"/>
          <w:szCs w:val="32"/>
        </w:rPr>
        <w:t>,18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may be used for pathologic staging of</w:t>
      </w:r>
    </w:p>
    <w:p w14:paraId="7797E364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A30ADC">
        <w:rPr>
          <w:rFonts w:ascii="Times New Roman" w:hAnsi="Times New Roman" w:cs="Times New Roman"/>
          <w:sz w:val="32"/>
          <w:szCs w:val="32"/>
        </w:rPr>
        <w:t>Ewing sarcoma and can be reported in the Comment section. However, the presence or absence of metastatic</w:t>
      </w:r>
    </w:p>
    <w:p w14:paraId="18FB75A2" w14:textId="77777777" w:rsidR="009E1539" w:rsidRPr="00A30ADC" w:rsidRDefault="009E1539" w:rsidP="009E153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disease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(a feature that may not be known to the pathologist) is the primary factor in the staging and treatment of</w:t>
      </w:r>
    </w:p>
    <w:p w14:paraId="01DC7689" w14:textId="77777777" w:rsidR="00063DD2" w:rsidRPr="00A30ADC" w:rsidRDefault="009E1539" w:rsidP="009E1539">
      <w:pPr>
        <w:rPr>
          <w:sz w:val="32"/>
          <w:szCs w:val="32"/>
        </w:rPr>
      </w:pPr>
      <w:proofErr w:type="gramStart"/>
      <w:r w:rsidRPr="00A30ADC">
        <w:rPr>
          <w:rFonts w:ascii="Times New Roman" w:hAnsi="Times New Roman" w:cs="Times New Roman"/>
          <w:sz w:val="32"/>
          <w:szCs w:val="32"/>
        </w:rPr>
        <w:t>pediatric</w:t>
      </w:r>
      <w:proofErr w:type="gramEnd"/>
      <w:r w:rsidRPr="00A30ADC">
        <w:rPr>
          <w:rFonts w:ascii="Times New Roman" w:hAnsi="Times New Roman" w:cs="Times New Roman"/>
          <w:sz w:val="32"/>
          <w:szCs w:val="32"/>
        </w:rPr>
        <w:t xml:space="preserve"> patients with Ewing sarcoma.</w:t>
      </w:r>
    </w:p>
    <w:sectPr w:rsidR="00063DD2" w:rsidRPr="00A30ADC" w:rsidSect="00A30ADC">
      <w:pgSz w:w="12240" w:h="20160"/>
      <w:pgMar w:top="1440" w:right="1800" w:bottom="1440" w:left="1800" w:header="720" w:footer="720" w:gutter="0"/>
      <w:cols w:space="720"/>
      <w:docGrid w:linePitch="360"/>
      <w:printerSettings r:id="rId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539"/>
    <w:rsid w:val="00063DD2"/>
    <w:rsid w:val="000C39F2"/>
    <w:rsid w:val="001E33A5"/>
    <w:rsid w:val="003635B9"/>
    <w:rsid w:val="0051336A"/>
    <w:rsid w:val="005D2E1E"/>
    <w:rsid w:val="00696E87"/>
    <w:rsid w:val="00984893"/>
    <w:rsid w:val="009E1539"/>
    <w:rsid w:val="00A30ADC"/>
    <w:rsid w:val="00E9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90FECD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5B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5B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5B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5B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printerSettings" Target="printerSettings/printerSettings1.bin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2288</Words>
  <Characters>13046</Characters>
  <Application>Microsoft Macintosh Word</Application>
  <DocSecurity>0</DocSecurity>
  <Lines>108</Lines>
  <Paragraphs>30</Paragraphs>
  <ScaleCrop>false</ScaleCrop>
  <Company>goldenstorm</Company>
  <LinksUpToDate>false</LinksUpToDate>
  <CharactersWithSpaces>15304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PaekHo Cool</dc:creator>
  <cp:keywords/>
  <dc:description/>
  <cp:lastModifiedBy>PaekHo Cool</cp:lastModifiedBy>
  <cp:revision>10</cp:revision>
  <dcterms:created xsi:type="dcterms:W3CDTF">2017-09-20T18:57:00Z</dcterms:created>
  <dcterms:modified xsi:type="dcterms:W3CDTF">2017-09-20T19:15:00Z</dcterms:modified>
</cp:coreProperties>
</file>