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One: Discovery</w:t>
      </w:r>
    </w:p>
    <w:p>
      <w:pPr>
        <w:spacing w:after="280"/>
        <w:jc w:val="center"/>
        <w:pBdr>
          <w:bottom w:val="single" w:sz="10" w:space="6" w:color="E8660A"/>
        </w:pBdr>
      </w:pPr>
      <w:r>
        <w:rPr>
          <w:color w:val="E8660A"/>
          <w:sz w:val="26"/>
        </w:rPr>
        <w:t>The workbook you complete before you design anything</w:t>
      </w:r>
    </w:p>
    <w:p>
      <w:pPr>
        <w:spacing w:after="400"/>
        <w:jc w:val="center"/>
      </w:pPr>
      <w:r>
        <w:rPr>
          <w:i/>
          <w:color w:val="4A4A63"/>
          <w:sz w:val="21"/>
        </w:rPr>
        <w:t>Fill this in first. Nothing in the later stages is valid unless it can be traced</w:t>
        <w:br/>
        <w:t>back to something you recorded on these pages.</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ONE TO THREE</w:t>
            </w:r>
          </w:p>
        </w:tc>
      </w:tr>
    </w:tbl>
    <w:p>
      <w:r>
        <w:br w:type="page"/>
      </w:r>
    </w:p>
    <w:p>
      <w:pPr>
        <w:spacing w:before="440" w:after="60"/>
        <w:pBdr>
          <w:bottom w:val="single" w:sz="8" w:space="6" w:color="E8660A"/>
        </w:pBdr>
      </w:pPr>
      <w:r>
        <w:rPr>
          <w:b/>
          <w:color w:val="1A1A2E"/>
          <w:sz w:val="34"/>
        </w:rPr>
        <w:t>How to use this workbook</w:t>
      </w:r>
    </w:p>
    <w:p>
      <w:pPr>
        <w:spacing w:after="140"/>
      </w:pPr>
      <w:r>
        <w:rPr>
          <w:i w:val="0"/>
          <w:sz w:val="21"/>
        </w:rPr>
        <w:t>This workbook is a set of tables for you to complete. The prompts in the left-hand column tell you what belongs in each row; the remaining columns are yours to fill in. Where a table has blank rows at the bottom, add as many more as you need.</w:t>
      </w:r>
    </w:p>
    <w:p>
      <w:pPr>
        <w:spacing w:after="140"/>
      </w:pPr>
      <w:r>
        <w:rPr>
          <w:i w:val="0"/>
          <w:sz w:val="21"/>
        </w:rPr>
        <w:t>Work through the sections in order. Section one establishes who you are talking to, sections two to five gather the evidence, and section six is where you turn that evidence into a problem statement. Do not attempt section six before the others are genuinely finished, because the whole point of the exercise is that the conclusion follows from the evidence rather than the other way round.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finished looks like</w:t>
            </w:r>
          </w:p>
          <w:p>
            <w:pPr>
              <w:spacing w:after="160"/>
            </w:pPr>
            <w:r>
              <w:rPr>
                <w:color w:val="333344"/>
                <w:sz w:val="20"/>
              </w:rPr>
              <w:t>You are finished with discovery when a further interview tells you nothing you did not already know, and when every claim in your problem statement can be pointed at a specific row in one of these tables. If either of those is not yet true, you are not finished, however much time has passed.</w:t>
            </w:r>
          </w:p>
        </w:tc>
      </w:tr>
    </w:tbl>
    <w:p>
      <w:pPr>
        <w:spacing w:after="40"/>
      </w:pPr>
    </w:p>
    <w:p>
      <w:pPr>
        <w:spacing w:before="200" w:after="60"/>
        <w:jc w:val="center"/>
      </w:pPr>
      <w:r>
        <w:drawing>
          <wp:inline xmlns:a="http://schemas.openxmlformats.org/drawingml/2006/main" xmlns:pic="http://schemas.openxmlformats.org/drawingml/2006/picture">
            <wp:extent cx="4389120" cy="3301993"/>
            <wp:docPr id="1" name="Picture 1"/>
            <wp:cNvGraphicFramePr>
              <a:graphicFrameLocks noChangeAspect="1"/>
            </wp:cNvGraphicFramePr>
            <a:graphic>
              <a:graphicData uri="http://schemas.openxmlformats.org/drawingml/2006/picture">
                <pic:pic>
                  <pic:nvPicPr>
                    <pic:cNvPr id="0" name="discovery_loop.png"/>
                    <pic:cNvPicPr/>
                  </pic:nvPicPr>
                  <pic:blipFill>
                    <a:blip r:embed="rId9"/>
                    <a:stretch>
                      <a:fillRect/>
                    </a:stretch>
                  </pic:blipFill>
                  <pic:spPr>
                    <a:xfrm>
                      <a:off x="0" y="0"/>
                      <a:ext cx="4389120" cy="3301993"/>
                    </a:xfrm>
                    <a:prstGeom prst="rect"/>
                  </pic:spPr>
                </pic:pic>
              </a:graphicData>
            </a:graphic>
          </wp:inline>
        </w:drawing>
      </w:r>
    </w:p>
    <w:p>
      <w:pPr>
        <w:spacing w:after="240"/>
        <w:jc w:val="center"/>
      </w:pPr>
      <w:r>
        <w:rPr>
          <w:i/>
          <w:color w:val="4A4A63"/>
          <w:sz w:val="17"/>
        </w:rPr>
        <w:t>Figure 1. Discovery repeats until the answers stop changing.</w:t>
      </w:r>
    </w:p>
    <w:p>
      <w:r>
        <w:br w:type="page"/>
      </w:r>
    </w:p>
    <w:p>
      <w:pPr>
        <w:spacing w:before="440" w:after="60"/>
        <w:pBdr>
          <w:bottom w:val="single" w:sz="8" w:space="6" w:color="E8660A"/>
        </w:pBdr>
      </w:pPr>
      <w:r>
        <w:rPr>
          <w:b/>
          <w:color w:val="E8660A"/>
          <w:sz w:val="34"/>
        </w:rPr>
        <w:t xml:space="preserve">1   </w:t>
      </w:r>
      <w:r>
        <w:rPr>
          <w:b/>
          <w:color w:val="1A1A2E"/>
          <w:sz w:val="34"/>
        </w:rPr>
        <w:t>Section one: what the interviews tell you</w:t>
      </w:r>
    </w:p>
    <w:p>
      <w:pPr>
        <w:spacing w:after="140"/>
      </w:pPr>
      <w:r>
        <w:rPr>
          <w:i w:val="0"/>
          <w:sz w:val="21"/>
        </w:rPr>
        <w:t>Your discovery evidence is in two places: the five stakeholder interview transcripts in the datasets folder, and the ticket data itself. Start with the transcripts. Read all five before you write anything, then come back and fill in the table below.</w:t>
      </w:r>
    </w:p>
    <w:p>
      <w:pPr>
        <w:spacing w:after="140"/>
      </w:pPr>
      <w:r>
        <w:rPr>
          <w:i w:val="0"/>
          <w:sz w:val="21"/>
        </w:rPr>
        <w:t>The prompts in the left column are the people you spoke to. For each, record what you were trying to learn from them, what they actually told you, and, importantly, what they seemed not to know about their own operation. That last column is often where the useful material is, because each of the five can only see their own part of the problem.</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told you</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appear not to know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want to verify in the data</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Marcus Adeyemi, Head of Support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500+ tickets/wk with 6 agents. Response SLA 2h; actual 8-12h. FCR 42% (industry benchmark quoted at 65%). Escalation costs about 4x a resolved ticket. Tried +2 hires (helped 1 month), canned response library (agents hated it, lookup slower than writing), outsourcing (quotes exceeded team cost). Cares more about FCR than reply time even though the SLA reports reply time. Refuses to send confidently wrong answers. Won't take on work that makes agents' lives harder. Enterprise plan has a distinct SLA and cannot regress. Compliance review in autumn requires explainability.</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What his tickets are actually about (his words: 'I would be guessing'). That his CSAT figure of 3.2 is high vs. the data (2.97). That his enterprise segment is currently the worst-served tier.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Intent distribution, real CSAT, FCR by customer_tier, must_not_auto_respond count, actual reply-time distribution.</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Sofia Restrepo, Tier One Agent</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Queue 40-70/day, Mondays feel worst, sorts by age to avoid SLA breach. Known-pattern ticket 4-5 min; unusual up to 40 min then escalates anyway. Estimates 7 out of 10 tickets she's seen the same month. Time goes to search + writing. Doesn't use the KB because internal search is painful; uses her personal snippet file. Escalates on: don't know, low confidence, or a policy-mandated always-escalate category (security). Would prefer a draft + attached doc, not a full auto-answer. Non-fluent English tickets take longer, she believes their satisfaction is worse, and nobody has noticed.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That her 'search is bad' message reached Ines as 'docs are bad'. That her non-fluent-English hypothesis is not visible in outcome metrics (only in her experience of writing them).</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answerable_from_docs share, CSAT by language_fluency, day-of-week distribution, whether Monday intake really is highest.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Daniel Okonkwo, Tier Two Engineer</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Estimates about half of what reaches him is T1-tractable if T1 had been more confident or found the right page. Escalations arrive as forwarded ticket, no summary, no note about what was tried. He re-reads the whole thread and often re-asks the customer. Wants context bundle: draft + retrieved docs + T1 uncertainty flag. Says he'd move 2x faster. Warns that private snippet files carry stale answers (some 2+ years old); training on them scales mistakes. Do-not-automate: security, billing disputes (contractual), data location (compliance).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That Marcus sees the escalation rate but not the content behind it. The exact avoidable-escalation figure (his 50% overstates; data says 38%).</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Cross-tab of history.escalated x answerable_from_docs x must_not_auto_respond. Which intent classes carry the most escalations.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Ines Varga, Technical Writer</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29 KB articles, written and reviewed by her on a rotation. Covers auth, deployment, api, billing, data, security, account (she named 7). Externally used a lot; internally not at all. It took her a year to work this out. Root cause per her: internal search matches titles and exact terms, but customers describe problems in different words than her article titles. Named example: 'my deployment keeps dying' vs 'resolving container health check failures'. Worried about the private snippet files (unreviewed drift). Wants citations back to specific articles so 'article wrong' vs 'system misread it' can be told apart. Not covered by the KB: feature requests, roadmap/timing, novel incidents.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That the true documentation category count is 10, not the 7-8 she recalled. That her 'my article is titled X' example is exactly the retrieval-hardness case the system has to solve.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Actual number of doc categories in the corpus. Retrieval hit rate on expected_doc_ids segmented by ticket language.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Ravi Menon, Customer (business plan, platform lead)</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Says support is 'slow but decent once you get there'. Waiting cost varies by ticket urgency (pagination question vs deploy blocking ship). Self-serves the docs about half the time; when he finds the answer, the eventual reply repeats it and he has burned two hours. Would accept an automated first response provided it (a) is honest about being automated, (b) states uncertainty, (c) cites its source, and (d) a person confirms. Wants to know it's automated so he can calibrate trust. His colleague on the enterprise plan gets responses in about an hour; if the gap between plans widens after this project, it becomes a renewal conversation.</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That the enterprise segment as a whole (his colleague's plan) has the WORST FCR and slowest median resolution of the three tiers. His colleague's experience is atypical.</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and median resolution segmented by customer_tier. Volume of docs_comment channel (his own 'searched first' behaviour is likely widespread).</w:t>
            </w:r>
          </w:p>
        </w:tc>
      </w:tr>
    </w:tbl>
    <w:p>
      <w:pPr>
        <w:spacing w:after="80"/>
      </w:pPr>
    </w:p>
    <w:p>
      <w:pPr>
        <w:spacing w:before="300" w:after="60"/>
      </w:pPr>
      <w:r>
        <w:rPr>
          <w:b/>
          <w:color w:val="1A1A2E"/>
          <w:sz w:val="25"/>
        </w:rPr>
        <w:t>Where the accounts disagree</w:t>
      </w:r>
    </w:p>
    <w:p>
      <w:pPr>
        <w:spacing w:after="140"/>
      </w:pPr>
      <w:r>
        <w:rPr>
          <w:i w:val="0"/>
          <w:sz w:val="21"/>
        </w:rPr>
        <w:t>At least three points of disagreement run through the transcripts, and each can be settled by going to the ticket data rather than by deciding whose account sounds more convincing. Identify them, then resolve them with evidence.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The disagreement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 says what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the data settles it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follows from the answer</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6"/>
              </w:rPr>
              <w:t>Q1. What proportion of incoming tickets are answerable from the 29 KB articles?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Marcus doesn't know. Sofia estimates 7 out of 10. Ines says 'a lot externally, none internally'.</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labels.answerable_from_docs = true for 357/500 (71.4%). Sofia was right to within a percentage point. [EV-DATA-02]</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The architecture is retrieval-first. The answers exist; the failure is finding them.</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Q2. Are escalations mostly hard cases, or T1-tractable ones that lacked findability?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Marcus (implicit): they must be hard, that's what T2 is for. Daniel: about half are avoidable.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Of 281 historical escalations, 107 (38%) are answerable_from_docs AND not-must-not-auto-respond. Daniel was directionally right but overstates. [EV-DATA-04] Separately, 46 of 189 correct escalations (24%) are still doc-backed and need context attached. [EV-DATA-03]</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Two routing outcomes matter: auto-respond with citation, AND escalate WITH context. A binary router misses Daniel's ask.</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6"/>
              </w:rPr>
              <w:t>Q3. Is the underlying failure documentation content or documentation findability?</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Ines heard 'content is bad'. Sofia meant 'search is bad'.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Q3 pilot (Sat W1D4): TF-IDF over the 29 articles hits expected_doc_ids in top-3 for 93.6% of 357 answerable tickets. Sofia is confirmed; corpus is more retrievable than expected. Ines's specific example does not defeat TF-IDF at scale.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Retrieval NFR baseline: 90% top-3 minimum, 93% target. The system's value shifts from retrieval quality to routing + generation + audit — those are what CloudServe doesn't already have.</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Q4. Where does service quality actually vary across customer segments?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Sofia flags language_fluency. Ravi flags customer_tier (implying enterprise gets better service).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Language_fluency shows NO outcome gap (non-fluent slightly better on FCR/CSAT). [EV-DATA-06] Enterprise is the WORST tier (FCR 37%, median 369 min) - contradicts Ravi. [EV-DATA-08] Latin America has worst CSAT (2.73), Asia-Pacific x non_fluent intersection worst (2.68). [EV-DATA-07] docs_comment channel is 20pp worse on FCR than any other channel. [EV-DATA-09]</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Fairness constraints must include tier + region + channel. Sofia's fluency concern belongs on the retrieval axis (where phrase-match hurts non-native queries), not the outcome axis.</w:t>
            </w:r>
          </w:p>
        </w:tc>
      </w:tr>
    </w:tbl>
    <w:p>
      <w:pPr>
        <w:spacing w:after="80"/>
      </w:pPr>
    </w:p>
    <w:p>
      <w:pPr>
        <w:spacing w:before="300" w:after="60"/>
      </w:pPr>
      <w:r>
        <w:rPr>
          <w:b/>
          <w:color w:val="1A1A2E"/>
          <w:sz w:val="25"/>
        </w:rPr>
        <w:t>What nobody said</w:t>
      </w:r>
    </w:p>
    <w:p>
      <w:pPr>
        <w:spacing w:after="140"/>
      </w:pPr>
      <w:r>
        <w:rPr>
          <w:i w:val="0"/>
          <w:sz w:val="21"/>
        </w:rPr>
        <w:t>Real stakeholders leave out the things so familiar to them that they no longer notice them. Record anything you expected somebody to raise that none of the five actually did.</w:t>
      </w:r>
    </w:p>
    <w:tbl>
      <w:tblPr>
        <w:tblW w:type="auto" w:w="0"/>
        <w:jc w:val="center"/>
        <w:tblLayout w:type="fixed"/>
        <w:tblLook w:firstColumn="1" w:firstRow="1" w:lastColumn="0" w:lastRow="0" w:noHBand="0" w:noVBand="1" w:val="04A0"/>
      </w:tblPr>
      <w:tblGrid>
        <w:gridCol w:w="3216"/>
        <w:gridCol w:w="3216"/>
        <w:gridCol w:w="3216"/>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was never mentioned</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would have expected it</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check it</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6"/>
              </w:rPr>
              <w:t>The docs_comment channel as a distinct failed-self-service population.</w:t>
            </w:r>
          </w:p>
        </w:tc>
        <w:tc>
          <w:tcPr>
            <w:tcW w:type="dxa" w:w="3312"/>
            <w:tcBorders>
              <w:top w:val="single" w:sz="6" w:color="D9D9E0"/>
              <w:left w:val="single" w:sz="6" w:color="D9D9E0"/>
              <w:bottom w:val="single" w:sz="6" w:color="D9D9E0"/>
              <w:right w:val="single" w:sz="6" w:color="D9D9E0"/>
            </w:tcBorders>
          </w:tcPr>
          <w:p>
            <w:pPr>
              <w:spacing w:before="50" w:after="50"/>
            </w:pPr>
            <w:r>
              <w:rPr>
                <w:sz w:val="16"/>
              </w:rPr>
              <w:t>One in six tickets arrives via customers who tried the docs first and gave up. Their FCR is 20pp worse than any other channel, resolution 5x longer, one in three comes back within a week. This is where retrieval matters most.</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docs_comment segment analysis in the ticket data (78 tickets, 15.6%). Check whether these customers succeed on a second-pass retrieval attempt with our system.</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Repeat-contact rate as a business measure.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6"/>
              </w:rPr>
              <w:t>21.6% of tickets are repeat contacts within a week. That's more than one in five. Marcus tracks FCR and reply time but did not name this figure.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Report repeat_contact as a first-class business metric. Segment it by channel and by whether the first response was cited from docs.</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6"/>
              </w:rPr>
              <w:t>Timezone / support-hours coverage as the driver of the regional gap.</w:t>
            </w:r>
          </w:p>
        </w:tc>
        <w:tc>
          <w:tcPr>
            <w:tcW w:type="dxa" w:w="3312"/>
            <w:tcBorders>
              <w:top w:val="single" w:sz="6" w:color="D9D9E0"/>
              <w:left w:val="single" w:sz="6" w:color="D9D9E0"/>
              <w:bottom w:val="single" w:sz="6" w:color="D9D9E0"/>
              <w:right w:val="single" w:sz="6" w:color="D9D9E0"/>
            </w:tcBorders>
          </w:tcPr>
          <w:p>
            <w:pPr>
              <w:spacing w:before="50" w:after="50"/>
            </w:pPr>
            <w:r>
              <w:rPr>
                <w:sz w:val="16"/>
              </w:rPr>
              <w:t>Latin America has the worst CSAT (2.73) even for fluent-English tickets. Language doesn't explain it. Support hours might.</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Cross-tab received_at hour-of-day with region. Not fully answerable from data alone; likely needs a stated assumption in the PRD.</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Fridays are the highest intake day, not Mondays.</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6"/>
              </w:rPr>
              <w:t>Sofia said Mondays feel worst. Data: Friday 17%, Tuesday 16%, Monday 15%. Sofia's perception likely reflects the weekend backlog arriving Monday morning, not intake.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Sprint plan uses actual intake distribution. Weekend on-call is not part of this project's scope.</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The auto-respond segment already has 70% FCR historically.</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6"/>
              </w:rPr>
              <w:t>For tickets whose correct route is auto-respond, historical FCR is 70.4% (vs 44% overall) and median 40 min (vs 214). The prize isn't a small gain; the segment is already competitive.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Report FCR against this sub-segment separately from the overall figure so the numerator of the improvement is visible.</w:t>
            </w:r>
          </w:p>
        </w:tc>
      </w:tr>
    </w:tbl>
    <w:p>
      <w:pPr>
        <w:spacing w:after="80"/>
      </w:pPr>
    </w:p>
    <w:p>
      <w:r>
        <w:br w:type="page"/>
      </w:r>
    </w:p>
    <w:p>
      <w:pPr>
        <w:spacing w:before="440" w:after="60"/>
        <w:pBdr>
          <w:bottom w:val="single" w:sz="8" w:space="6" w:color="E8660A"/>
        </w:pBdr>
      </w:pPr>
      <w:r>
        <w:rPr>
          <w:b/>
          <w:color w:val="E8660A"/>
          <w:sz w:val="34"/>
        </w:rPr>
        <w:t xml:space="preserve">2   </w:t>
      </w:r>
      <w:r>
        <w:rPr>
          <w:b/>
          <w:color w:val="1A1A2E"/>
          <w:sz w:val="34"/>
        </w:rPr>
        <w:t>Section two: what the ticket data shows</w:t>
      </w:r>
    </w:p>
    <w:p>
      <w:pPr>
        <w:spacing w:after="140"/>
      </w:pPr>
      <w:r>
        <w:rPr>
          <w:i w:val="0"/>
          <w:sz w:val="21"/>
        </w:rPr>
        <w:t>Before you interpret anything, count it. Load development_tickets.json and fill in the table below from the data itself rather than from impression. Where a figure surprises you, write the surprise down; those are usually the most productive threads to pull.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to 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Your figure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Where the figure came from</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surprised you about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Total tickets in the sample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500 (development set); 80 (validation, held aside); 200 senior-agent reference responses.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data/development_tickets.json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None - pack-stated.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Split by channel</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email 42.4%, chat 31.0%, docs_comment 15.6%, forum 11.0%.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channel field, all 500 tickets  [Computed by: workbooks/discovery_notes_thursday.md analysis]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docs_comment is 15.6% - significant enough that it deserves its own routing treatment. Forum is the smallest but has the best FCR (51%).</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Split by intent category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22 classes, fairly balanced (13 to 29 tickets each). Top: data_export/data_residency (29 each, 5.8%), rollback_request (28), deployment_failure (27), compliance_request/sso_configuration/security_incident/database_issue (26 each).</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labels.intent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dominant class; the classifier gets to see all 22 in the dev set. Long tail is short.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Split by urgency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medium 45.2%, high 29.2%, low 25.6%.</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labels.urgency  [Computed by: workbooks/discovery_notes_thursday.md analysis]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High-urgency at nearly a third is more than intuition suggested.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Proportion marked resolved on first contact</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overall. 70.4% on the auto-respond segment. 34.6% on docs_comment channel (worst).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history.first_contact_resolution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Overall FCR matches Marcus's quoted 42% closely. Channel skew is much wider than tier skew.</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Average satisfaction rating</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2.97 / 5 (mean). Marcus quoted 3.2.</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history.csat_rating, mean across 500  [Computed by: workbooks/discovery_notes_thursday.md analysis]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Marcus's number is optimistic by 0.23. Worst intersection: Latin America x fluent (2.64). Best: Asia-Pacific x fluent (3.01).</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Most frequent single question (intent class)</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data_export and data_residency tied at 29 tickets (5.8% each).</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count of labels.intent, top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Data-adjacent intents dominate the top of the distribution - matches the Ines observation that data-shaped questions are heavy.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Proportion answerable from existing documentation</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71.4% (357/500).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labels.answerable_from_docs  [Computed by: workbooks/discovery_notes_thursday.md analysis]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Matches Sofia's 7-out-of-10 estimate to within a percentage point. This is the single most important number in the workbook.</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Proportion marked non-fluent, and their outcomes</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120/500 (24%). FCR 45.8% (vs 43.2% fluent). CSAT 3.04 (vs 2.95). Median resolution 198 min (vs 216).</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language_fluency segment stats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Non-fluent tickets do slightly BETTER on every outcome. Sofia's concern is real at the agent-experience level but does not show up at the outcome level.</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Outcomes by customer tier</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enterprise (n=83): FCR 37%, median 369 min, CSAT 3.05. business (n=164): FCR 48%, median 141 min, CSAT 2.91. standard (n=253): FCR 43%, median 266 min, CSAT 2.98.</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customer_tier segment stats  [Computed by: workbooks/discovery_notes_thursday.md analysis]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Enterprise is the WORST-served tier, not the best. Contradicts Ravi's assumption. Enterprise has more high-urgency tickets (36% vs 23% business) and more complex top intents.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Proportion that are repeat contacts</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21.6% (108/500). docs_comment channel: 33.3%. Enterprise tier: 24.1%.</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history.repeat_contact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One in five overall. On docs_comment, one in three. This is the tell for 'answered but not solved'.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must_not_auto_respond flag</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87/500 (17.4%). Comes entirely from four intents at 100% each: compliance_request, security_incident, feature_request, unclear_request.</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labels.must_not_auto_respond  [Computed by: workbooks/discovery_notes_thursday.md analysis]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Sets the hard floor on escalation rate. No confidence threshold can breach this.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Intake by day of week</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Friday 17%, Tuesday 16%, Monday 15%, Wednesday 15%, Thursday 14%, Sunday 12%, Saturday 11%.</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received_at day-of-week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Sofia said Mondays are worst; Fridays are actually highest. Sofia is probably experiencing the weekend backlog rather than the intake.</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Body length distribution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28 to 245 characters. Median 141. Chat channel has 100% empty subject (155/155).</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body and subject fields  [Computed by: workbooks/discovery_notes_thursday.md analysis]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Short tickets throughout. Ingest must accept empty subject on chat.</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Two rows matter more than the rest</w:t>
            </w:r>
          </w:p>
          <w:p>
            <w:pPr>
              <w:spacing w:after="160"/>
            </w:pPr>
            <w:r>
              <w:rPr>
                <w:color w:val="333344"/>
                <w:sz w:val="20"/>
              </w:rPr>
              <w:t>The proportion of tickets already answerable from existing documentation tells you whether CloudServe lack answers or merely lack a way of reaching them. Those are different problems with different solutions. The non-fluent segment matters for a different reason: something in the transcripts points at it, and the data will tell you whether that person was right.</w:t>
            </w:r>
          </w:p>
        </w:tc>
      </w:tr>
    </w:tbl>
    <w:p>
      <w:pPr>
        <w:spacing w:after="40"/>
      </w:pPr>
    </w:p>
    <w:p>
      <w:r>
        <w:br w:type="page"/>
      </w:r>
    </w:p>
    <w:p>
      <w:pPr>
        <w:spacing w:before="440" w:after="60"/>
        <w:pBdr>
          <w:bottom w:val="single" w:sz="8" w:space="6" w:color="E8660A"/>
        </w:pBdr>
      </w:pPr>
      <w:r>
        <w:rPr>
          <w:b/>
          <w:color w:val="E8660A"/>
          <w:sz w:val="34"/>
        </w:rPr>
        <w:t xml:space="preserve">3   </w:t>
      </w:r>
      <w:r>
        <w:rPr>
          <w:b/>
          <w:color w:val="1A1A2E"/>
          <w:sz w:val="34"/>
        </w:rPr>
        <w:t>Section three: where the time actually goes</w:t>
      </w:r>
    </w:p>
    <w:p>
      <w:pPr>
        <w:spacing w:after="140"/>
      </w:pPr>
      <w:r>
        <w:rPr>
          <w:i w:val="0"/>
          <w:sz w:val="21"/>
        </w:rPr>
        <w:t>Understanding volume is not the same as understanding effort. A category that accounts for five per cent of tickets but forty per cent of agent hours is where the real problem lives. Work out, as far as your evidence allows, how effort is distributed.</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Ticket category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Share of volume</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Estimated share of effort</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two differ</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Evidence for your estimate</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security_incident</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5.2%</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9.9%</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100% must-escalate; historically escalated at 100%; escalation adds ~4x effort per Marcus's ratio.</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history.escalated x Marcus's cost multiplier  [ASSUMPTION: 4x multiplier is Marcus's EV-M1 estimate; whole ordering shifts if wrong.]</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compliance_request</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5.2%</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8.6%</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Same reason as security. 100% must-escalate; 100% actually escalated in history.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same</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data_residency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5.8%</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7.1%</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72% answerable from docs but the concrete resolution is high-touch (contract review, region migration). Long median resolution.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history.resolution_time x escalation</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feature_request</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4.0%</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7.0%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must-escalate. No document to retrieve. Requires product-team handoff.</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same</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deployment_failure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5.4%</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6.2%</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70% answerable but the ones that aren't are engineer-heavy debugging cases.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same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rate_limit</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2.6%</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0.7%</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92% answerable. Simple docs answer. Low escalation. Highest automation ROI.</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same</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sso_configuration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5.2%</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2.2%</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85% answerable. Cheap to answer, common enough to matter.</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same</w:t>
            </w:r>
          </w:p>
        </w:tc>
      </w:tr>
    </w:tbl>
    <w:p>
      <w:pPr>
        <w:spacing w:after="80"/>
      </w:pPr>
    </w:p>
    <w:p>
      <w:pPr>
        <w:spacing w:before="300" w:after="60"/>
      </w:pPr>
      <w:r>
        <w:rPr>
          <w:b/>
          <w:color w:val="1A1A2E"/>
          <w:sz w:val="25"/>
        </w:rPr>
        <w:t>The steps an agent takes on a typical ticket</w:t>
      </w:r>
    </w:p>
    <w:p>
      <w:pPr>
        <w:spacing w:after="140"/>
      </w:pPr>
      <w:r>
        <w:rPr>
          <w:i w:val="0"/>
          <w:sz w:val="21"/>
        </w:rPr>
        <w:t>Sofia describes her working process in some detail in the second transcript. Reconstruct it as a sequence of steps and record roughly where the time goes at each one. The steps that sound trivial are frequently where the minutes accumulate.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72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Step</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 agent does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Roughly how long</w:t>
            </w:r>
          </w:p>
        </w:tc>
        <w:tc>
          <w:tcPr>
            <w:tcW w:type="dxa" w:w="417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Could this be automated? Say why or why not</w:t>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t>1</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Open the queue, sort by age (oldest first, to avoid SLA breach).</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seconds</w:t>
            </w:r>
          </w:p>
        </w:tc>
        <w:tc>
          <w:tcPr>
            <w:tcW w:type="dxa" w:w="4176"/>
            <w:tcBorders>
              <w:top w:val="single" w:sz="6" w:color="D9D9E0"/>
              <w:left w:val="single" w:sz="6" w:color="D9D9E0"/>
              <w:bottom w:val="single" w:sz="6" w:color="D9D9E0"/>
              <w:right w:val="single" w:sz="6" w:color="D9D9E0"/>
            </w:tcBorders>
          </w:tcPr>
          <w:p>
            <w:pPr>
              <w:spacing w:before="50" w:after="50"/>
            </w:pPr>
            <w:r>
              <w:rPr>
                <w:sz w:val="16"/>
              </w:rPr>
              <w:t>Not automated for the human; automated wholly if the router chooses the ticket.</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t>2</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Read the ticket and identify what it's really asking.</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30-60 seconds; longer for non-fluent English</w:t>
            </w:r>
          </w:p>
        </w:tc>
        <w:tc>
          <w:tcPr>
            <w:tcW w:type="dxa" w:w="4176"/>
            <w:tcBorders>
              <w:top w:val="single" w:sz="6" w:color="D9D9E0"/>
              <w:left w:val="single" w:sz="6" w:color="D9D9E0"/>
              <w:bottom w:val="single" w:sz="6" w:color="D9D9E0"/>
              <w:right w:val="single" w:sz="6" w:color="D9D9E0"/>
            </w:tcBorders>
            <w:shd w:val="clear" w:fill="F4F4F7"/>
          </w:tcPr>
          <w:p>
            <w:pPr>
              <w:spacing w:before="50" w:after="50"/>
            </w:pPr>
            <w:r>
              <w:rPr>
                <w:sz w:val="16"/>
              </w:rPr>
              <w:t>Automatable as intent + urgency classification with a confidence score.</w:t>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t>3</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Look for the answer: try the internal search, then fall back to her personal snippet file, sometimes ask a colleague.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Highly variable. Minutes on a known question; the reason known questions still take 4-5 minutes. Longer if it isn't in her snippet file.</w:t>
            </w:r>
          </w:p>
        </w:tc>
        <w:tc>
          <w:tcPr>
            <w:tcW w:type="dxa" w:w="4176"/>
            <w:tcBorders>
              <w:top w:val="single" w:sz="6" w:color="D9D9E0"/>
              <w:left w:val="single" w:sz="6" w:color="D9D9E0"/>
              <w:bottom w:val="single" w:sz="6" w:color="D9D9E0"/>
              <w:right w:val="single" w:sz="6" w:color="D9D9E0"/>
            </w:tcBorders>
          </w:tcPr>
          <w:p>
            <w:pPr>
              <w:spacing w:before="50" w:after="50"/>
            </w:pPr>
            <w:r>
              <w:rPr>
                <w:sz w:val="16"/>
              </w:rPr>
              <w:t>This is the whole point of the system. Vector retrieval over the KB replaces the search-and-snippet dance. Automatable at high value.</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t>4</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t>Write the response, usually by adapting a snippet.</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1-3 minutes</w:t>
            </w:r>
          </w:p>
        </w:tc>
        <w:tc>
          <w:tcPr>
            <w:tcW w:type="dxa" w:w="4176"/>
            <w:tcBorders>
              <w:top w:val="single" w:sz="6" w:color="D9D9E0"/>
              <w:left w:val="single" w:sz="6" w:color="D9D9E0"/>
              <w:bottom w:val="single" w:sz="6" w:color="D9D9E0"/>
              <w:right w:val="single" w:sz="6" w:color="D9D9E0"/>
            </w:tcBorders>
            <w:shd w:val="clear" w:fill="F4F4F7"/>
          </w:tcPr>
          <w:p>
            <w:pPr>
              <w:spacing w:before="50" w:after="50"/>
            </w:pPr>
            <w:r>
              <w:rPr>
                <w:sz w:val="16"/>
              </w:rPr>
              <w:t>Draft generation grounded in the retrieved passages. Automatable, but the T1-assist mode should still show her the draft rather than send unattended.</w:t>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t>5</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Decide send or escalate. Escalates on low confidence, unknown, or policy-mandated categories.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seconds if decision is clear; a minute or two if uncertain</w:t>
            </w:r>
          </w:p>
        </w:tc>
        <w:tc>
          <w:tcPr>
            <w:tcW w:type="dxa" w:w="4176"/>
            <w:tcBorders>
              <w:top w:val="single" w:sz="6" w:color="D9D9E0"/>
              <w:left w:val="single" w:sz="6" w:color="D9D9E0"/>
              <w:bottom w:val="single" w:sz="6" w:color="D9D9E0"/>
              <w:right w:val="single" w:sz="6" w:color="D9D9E0"/>
            </w:tcBorders>
          </w:tcPr>
          <w:p>
            <w:pPr>
              <w:spacing w:before="50" w:after="50"/>
            </w:pPr>
            <w:r>
              <w:rPr>
                <w:sz w:val="16"/>
              </w:rPr>
              <w:t>Automatable as confidence-thresholded routing plus a hard must_not_auto_respond floor. This is where the discipline sits.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417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720"/>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1584"/>
            <w:tcBorders>
              <w:top w:val="single" w:sz="6" w:color="D9D9E0"/>
              <w:left w:val="single" w:sz="6" w:color="D9D9E0"/>
              <w:bottom w:val="single" w:sz="6" w:color="D9D9E0"/>
              <w:right w:val="single" w:sz="6" w:color="D9D9E0"/>
            </w:tcBorders>
          </w:tcPr>
          <w:p>
            <w:pPr>
              <w:spacing w:before="50" w:after="50"/>
            </w:pPr>
            <w:r>
              <w:rPr>
                <w:sz w:val="16"/>
              </w:rPr>
            </w:r>
          </w:p>
        </w:tc>
        <w:tc>
          <w:tcPr>
            <w:tcW w:type="dxa" w:w="417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417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Section four: what the client counts as success</w:t>
      </w:r>
    </w:p>
    <w:p>
      <w:pPr>
        <w:spacing w:after="140"/>
      </w:pPr>
      <w:r>
        <w:rPr>
          <w:i w:val="0"/>
          <w:sz w:val="21"/>
        </w:rPr>
        <w:t>You cannot improve a number nobody is watching. Marcus names the figures he reports and is explicit about which one he actually cares about, and they are not the same. Record what CloudServe measure, who watches each measure, and what would have to change for this project to be considered worthwhile.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 watches it</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Current value</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would call success</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confident are you in this?</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Time to first reply</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SLA reporting (contractual)</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Median 214 min; mean 422 min; SLA promises 120 min.</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Median under 60 min. Mean under 180.</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High. Direct read from history.resolution_time_minutes across 500 tickets.</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First contact resolution (FCR)</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Marcus, though it isn't in the contract.</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43.8% overall; 70.4% on tickets whose correct route is auto-respond; 34.6% on docs_comment channel.</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60%+ overall, per the Project Brief. On the auto-respond segment, keep or improve 70%.</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High. Direct read from history.first_contact_resolution.</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CSAT</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Support team</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2.97/5. Worst intersections: LatAm x fluent (2.64), APAC x non_fluent (2.68).</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&gt;= 3.5/5 overall; no segment more than 15pp below the best.</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Medium. Historical numbers are real; forward-looking measurement requires the rubric-scored proxy per Evaluation Framework.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 (T2 workload)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Daniel, implicitly Marcus.</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38% of those historically were 'avoidable' (docs existed, not on the do-not-automate list).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escalations on the four must_not_auto_respond intents relaxed.</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High. Escalation is auditable in the log; must_not_auto_respond is a hard constraint.</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Repeat-contact rate</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Not currently watched.</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21.6% overall; 33.3% on docs_comment.</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Below 15% overall; below 20% on docs_comment.</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Medium. First-class metric to add to the system's report; not currently reported by CloudServe internally.</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Auditability / decision reconstructability</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Compliance officer (autumn review, per Marcus).</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Not currently measured; unstructured ticket history only.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from a persistent log with prompt_version, requirement_ids, and cited sources.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Set by the system design; achievable if we log at every stage.</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Cost per ticket</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Finance (implied, not confirmed).</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in the dataset. Marcus estimates escalation costs about 4x a resolved ticket.</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Would rise moderately from free-tier compute; not the axis this project competes 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Low. Not the metric this system optimizes for, per the cost-nothing rule.</w:t>
            </w:r>
          </w:p>
        </w:tc>
      </w:tr>
    </w:tbl>
    <w:p>
      <w:pPr>
        <w:spacing w:after="80"/>
      </w:pPr>
    </w:p>
    <w:p>
      <w:pPr>
        <w:spacing w:before="300" w:after="60"/>
      </w:pPr>
      <w:r>
        <w:rPr>
          <w:b/>
          <w:color w:val="1A1A2E"/>
          <w:sz w:val="25"/>
        </w:rPr>
        <w:t>The sentence test</w:t>
      </w:r>
    </w:p>
    <w:p>
      <w:pPr>
        <w:spacing w:after="140"/>
      </w:pPr>
      <w:r>
        <w:rPr>
          <w:i w:val="0"/>
          <w:sz w:val="21"/>
        </w:rPr>
        <w:t>Complete the following sentence using only figures you recorded above. If you cannot complete it, your discovery is not finished.</w:t>
      </w:r>
    </w:p>
    <w:tbl>
      <w:tblPr>
        <w:tblW w:type="auto" w:w="0"/>
        <w:jc w:val="center"/>
        <w:tblLayout w:type="fixed"/>
        <w:tblLook w:firstColumn="1" w:firstRow="1" w:lastColumn="0" w:lastRow="0" w:noHBand="0" w:noVBand="1" w:val="04A0"/>
      </w:tblPr>
      <w:tblGrid>
        <w:gridCol w:w="4824"/>
        <w:gridCol w:w="4824"/>
      </w:tblGrid>
      <w:tr>
        <w:tc>
          <w:tcPr>
            <w:tcW w:type="dxa" w:w="374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Prompt</w:t>
            </w:r>
          </w:p>
        </w:tc>
        <w:tc>
          <w:tcPr>
            <w:tcW w:type="dxa" w:w="590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744"/>
            <w:tcBorders>
              <w:top w:val="single" w:sz="6" w:color="D9D9E0"/>
              <w:left w:val="single" w:sz="6" w:color="D9D9E0"/>
              <w:bottom w:val="single" w:sz="6" w:color="D9D9E0"/>
              <w:right w:val="single" w:sz="6" w:color="D9D9E0"/>
            </w:tcBorders>
          </w:tcPr>
          <w:p>
            <w:pPr>
              <w:spacing w:before="50" w:after="50"/>
            </w:pPr>
            <w:r>
              <w:rPr>
                <w:sz w:val="17"/>
              </w:rPr>
              <w:t>This project will have been worth doing if, within three months of launch, ...</w:t>
            </w:r>
          </w:p>
        </w:tc>
        <w:tc>
          <w:tcPr>
            <w:tcW w:type="dxa" w:w="5904"/>
            <w:tcBorders>
              <w:top w:val="single" w:sz="6" w:color="D9D9E0"/>
              <w:left w:val="single" w:sz="6" w:color="D9D9E0"/>
              <w:bottom w:val="single" w:sz="6" w:color="D9D9E0"/>
              <w:right w:val="single" w:sz="6" w:color="D9D9E0"/>
            </w:tcBorders>
          </w:tcPr>
          <w:p>
            <w:pPr>
              <w:spacing w:before="50" w:after="50"/>
            </w:pPr>
            <w:r>
              <w:rPr>
                <w:sz w:val="17"/>
              </w:rPr>
              <w:t>FCR has moved from 44% to at least 55% overall, median time to first reply has dropped from 214 minutes to under 60, repeat-contact rate has dropped from 22% to under 15%, and zero auto-responses have been sent for tickets in the four always-escalate intents. Every automated decision is logged with the prompt version and source citation the autumn compliance review needs.</w:t>
            </w:r>
          </w:p>
        </w:tc>
      </w:tr>
      <w:tr>
        <w:tc>
          <w:tcPr>
            <w:tcW w:type="dxa" w:w="3744"/>
            <w:tcBorders>
              <w:top w:val="single" w:sz="6" w:color="D9D9E0"/>
              <w:left w:val="single" w:sz="6" w:color="D9D9E0"/>
              <w:bottom w:val="single" w:sz="6" w:color="D9D9E0"/>
              <w:right w:val="single" w:sz="6" w:color="D9D9E0"/>
            </w:tcBorders>
            <w:shd w:val="clear" w:fill="F4F4F7"/>
          </w:tcPr>
          <w:p>
            <w:pPr>
              <w:spacing w:before="50" w:after="50"/>
            </w:pPr>
            <w:r>
              <w:rPr>
                <w:sz w:val="17"/>
              </w:rPr>
              <w:t>We will know it did not work if we see ...</w:t>
            </w:r>
          </w:p>
        </w:tc>
        <w:tc>
          <w:tcPr>
            <w:tcW w:type="dxa" w:w="5904"/>
            <w:tcBorders>
              <w:top w:val="single" w:sz="6" w:color="D9D9E0"/>
              <w:left w:val="single" w:sz="6" w:color="D9D9E0"/>
              <w:bottom w:val="single" w:sz="6" w:color="D9D9E0"/>
              <w:right w:val="single" w:sz="6" w:color="D9D9E0"/>
            </w:tcBorders>
            <w:shd w:val="clear" w:fill="F4F4F7"/>
          </w:tcPr>
          <w:p>
            <w:pPr>
              <w:spacing w:before="50" w:after="50"/>
            </w:pPr>
            <w:r>
              <w:rPr>
                <w:sz w:val="17"/>
              </w:rPr>
              <w:t>any of the following: the enterprise segment's FCR falling further, hallucination rate above 5% on judge-rated samples, unresolved auditor questions about why a specific decision was taken, an auto-response ever sent for a compliance / security / feature / unclear ticket, or the docs_comment channel's repeat-contact rate staying above 30%.</w:t>
            </w:r>
          </w:p>
        </w:tc>
      </w:tr>
      <w:tr>
        <w:tc>
          <w:tcPr>
            <w:tcW w:type="dxa" w:w="3744"/>
            <w:tcBorders>
              <w:top w:val="single" w:sz="6" w:color="D9D9E0"/>
              <w:left w:val="single" w:sz="6" w:color="D9D9E0"/>
              <w:bottom w:val="single" w:sz="6" w:color="D9D9E0"/>
              <w:right w:val="single" w:sz="6" w:color="D9D9E0"/>
            </w:tcBorders>
          </w:tcPr>
          <w:p>
            <w:pPr>
              <w:spacing w:before="50" w:after="50"/>
            </w:pPr>
            <w:r>
              <w:rPr>
                <w:sz w:val="17"/>
              </w:rPr>
              <w:t>The measure the client will actually be judged on internally is ...</w:t>
            </w:r>
          </w:p>
        </w:tc>
        <w:tc>
          <w:tcPr>
            <w:tcW w:type="dxa" w:w="5904"/>
            <w:tcBorders>
              <w:top w:val="single" w:sz="6" w:color="D9D9E0"/>
              <w:left w:val="single" w:sz="6" w:color="D9D9E0"/>
              <w:bottom w:val="single" w:sz="6" w:color="D9D9E0"/>
              <w:right w:val="single" w:sz="6" w:color="D9D9E0"/>
            </w:tcBorders>
          </w:tcPr>
          <w:p>
            <w:pPr>
              <w:spacing w:before="50" w:after="50"/>
            </w:pPr>
            <w:r>
              <w:rPr>
                <w:sz w:val="17"/>
              </w:rPr>
              <w:t>FCR, though the SLA reports response time. Marcus is explicit: 'if I am being honest, [FCR matters] more than response time. Response time is what is in the agreement so it is what gets reported.' Design the metrics report so FCR leads.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Section five: data, constraints and risk</w:t>
      </w:r>
    </w:p>
    <w:p>
      <w:pPr>
        <w:spacing w:after="140"/>
      </w:pPr>
      <w:r>
        <w:rPr>
          <w:i w:val="0"/>
          <w:sz w:val="21"/>
        </w:rPr>
        <w:t>Everything you build depends on data that already exists, and every piece of that data carries constraints. Record what exists, what condition it is in, and what you are not permitted to do with it. Ines and Daniel both raise concerns about data quality that belong in this table.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Data source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contains</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Quality and gaps</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Access constraints</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Private data present?</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t>Support tickets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500 dev + 80 validation + 200 senior-agent reference responses + a hidden 120 used once at grading. Rich labels, historical outcomes, customer segment fields.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Bodies are 28-245 chars, chat has empty subject by design, all bodies non-empty in the dev set. Labels are complete. Full historical outcomes present.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Development set: use freely. Validation: for self-check as often as needed. Hidden: used once. Harness must take input/output paths, per A9.</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Customer names present; no addresses, emails, keys, or account numbers. First-name data only per row inspection.</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Documentation (KB)</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29 articles, 10 categories: authentication, deployment, api, performance, billing, data, security, account, integration, onboarding. Structured (title, applies-to, symptoms, causes, resolution, notes). Ines reviews on rotation.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Content is clean and consistent in structure. Gaps by design: feature_request and unclear_request have no corresponding article. Coverage varies by intent (54% for security_incident to 96% for api_usage_question).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Read-only. Chunk and embed locally. No commit back.</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None. Anonymized in the pack.</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t>Past resolutions (ground truth)</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200 senior-agent responses covering a subset of ticket_ids. Fields: reference_response, expected_doc_ids, must_mention, must_not_claim, written_by.</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Written by senior agents; considered authoritative. must_mention and must_not_claim are the evaluation harness's foothold for automated checks.</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For evaluation only. Must not be used at inference time (leaks the answer).</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None.</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Customer records (fields on each ticket)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customer_id, customer_name (first name only), customer_tier, customer_region, language_fluency.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Complete for all tickets. No missing values observed.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customer_name should not appear in outbound responses without explicit reason. customer_id is safe as an internal handle.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customer_name is a first name only; treat as PII for the outbound path.</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t>Private snippet files (mentioned by Sofia + Daniel)</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Agents' individual answer files, unreviewed. Some entries 2+ years old and no longer correct.</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Not available to this project. Daniel names them as a training-set risk.</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Not accessible. This is a constraint on the design (do not train on unreviewed prior answers).</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Would contain customer data if we had them. We don't.</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Model provider (OpenRouter free tier, Llama 3.1 8B)</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Runtime dependency. Free tier has rate limits.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Rate limits are the material constraint. Availability is not guaranteed during grading; A11 addresses this.</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No key in code. Backoff and caching required for full-set runs.</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None on our side.</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6"/>
              </w:rPr>
            </w:r>
          </w:p>
        </w:tc>
        <w:tc>
          <w:tcPr>
            <w:tcW w:type="dxa" w:w="2160"/>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c>
          <w:tcPr>
            <w:tcW w:type="dxa" w:w="1872"/>
            <w:tcBorders>
              <w:top w:val="single" w:sz="6" w:color="D9D9E0"/>
              <w:left w:val="single" w:sz="6" w:color="D9D9E0"/>
              <w:bottom w:val="single" w:sz="6" w:color="D9D9E0"/>
              <w:right w:val="single" w:sz="6" w:color="D9D9E0"/>
            </w:tcBorders>
          </w:tcPr>
          <w:p>
            <w:pPr>
              <w:spacing w:before="50" w:after="50"/>
            </w:pPr>
            <w:r>
              <w:rPr>
                <w:sz w:val="16"/>
              </w:rPr>
            </w:r>
          </w:p>
        </w:tc>
        <w:tc>
          <w:tcPr>
            <w:tcW w:type="dxa" w:w="1872"/>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p>
      <w:pPr>
        <w:spacing w:before="300" w:after="60"/>
      </w:pPr>
      <w:r>
        <w:rPr>
          <w:b/>
          <w:color w:val="1A1A2E"/>
          <w:sz w:val="25"/>
        </w:rPr>
        <w:t>Initial risk register</w:t>
      </w:r>
    </w:p>
    <w:p>
      <w:pPr>
        <w:spacing w:after="140"/>
      </w:pPr>
      <w:r>
        <w:rPr>
          <w:i w:val="0"/>
          <w:sz w:val="21"/>
        </w:rPr>
        <w:t>List what could go wrong once this system is speaking to customers without supervision. You will develop these further in stage five, but the first pass belongs here, while the problem is still fresh and you have not yet become attached to a particular design.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could go wrong</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likely</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bad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Who it affects</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First thought on preventing it</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The system answers confidently and incorrectly</w:t>
            </w:r>
          </w:p>
        </w:tc>
        <w:tc>
          <w:tcPr>
            <w:tcW w:type="dxa" w:w="1152"/>
            <w:tcBorders>
              <w:top w:val="single" w:sz="6" w:color="D9D9E0"/>
              <w:left w:val="single" w:sz="6" w:color="D9D9E0"/>
              <w:bottom w:val="single" w:sz="6" w:color="D9D9E0"/>
              <w:right w:val="single" w:sz="6" w:color="D9D9E0"/>
            </w:tcBorders>
          </w:tcPr>
          <w:p>
            <w:pPr>
              <w:spacing w:before="50" w:after="50"/>
            </w:pPr>
            <w:r>
              <w:rPr>
                <w:sz w:val="16"/>
              </w:rPr>
              <w:t>Medium - grounding failures are common in generation.</w:t>
            </w:r>
          </w:p>
        </w:tc>
        <w:tc>
          <w:tcPr>
            <w:tcW w:type="dxa" w:w="1008"/>
            <w:tcBorders>
              <w:top w:val="single" w:sz="6" w:color="D9D9E0"/>
              <w:left w:val="single" w:sz="6" w:color="D9D9E0"/>
              <w:bottom w:val="single" w:sz="6" w:color="D9D9E0"/>
              <w:right w:val="single" w:sz="6" w:color="D9D9E0"/>
            </w:tcBorders>
          </w:tcPr>
          <w:p>
            <w:pPr>
              <w:spacing w:before="50" w:after="50"/>
            </w:pPr>
            <w:r>
              <w:rPr>
                <w:sz w:val="16"/>
              </w:rPr>
              <w:t>High - Marcus's #1 fear. Screenshot goes public within the hour.</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The customer receiving the answer; the wider CloudServe reputation.</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Grounding guardrail that BLOCKS any factual claim not supported by the retrieved passages. Calibrated confidence threshold set from data. Citation binding enforced after generation.  [Trace: EV-M3 (Marcus: rather nothing than wrong); pack Governance Framework R-01]</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Private information appears in a reply</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6"/>
              </w:rPr>
              <w:t>Low - no PII present in the dataset, but the model could hallucinate one.</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Very high - regulatory + reputational.</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The customer whose data leaks; CloudServe's compliance posture.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PII guardrail that BLOCKS emails, API-key patterns, account numbers, other customers' names. Cross-checked against the retrieved sources, not just regex.  [Trace: EV-M5 (compliance review); pack Governance Framework R-02]</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Some customers get consistently worse answers</w:t>
            </w:r>
          </w:p>
        </w:tc>
        <w:tc>
          <w:tcPr>
            <w:tcW w:type="dxa" w:w="1152"/>
            <w:tcBorders>
              <w:top w:val="single" w:sz="6" w:color="D9D9E0"/>
              <w:left w:val="single" w:sz="6" w:color="D9D9E0"/>
              <w:bottom w:val="single" w:sz="6" w:color="D9D9E0"/>
              <w:right w:val="single" w:sz="6" w:color="D9D9E0"/>
            </w:tcBorders>
          </w:tcPr>
          <w:p>
            <w:pPr>
              <w:spacing w:before="50" w:after="50"/>
            </w:pPr>
            <w:r>
              <w:rPr>
                <w:sz w:val="16"/>
              </w:rPr>
              <w:t>High - enterprise and Latin America segments already do (baseline), and retrieval methods have known weaknesses on non-fluent English phrasing.</w:t>
            </w:r>
          </w:p>
        </w:tc>
        <w:tc>
          <w:tcPr>
            <w:tcW w:type="dxa" w:w="1008"/>
            <w:tcBorders>
              <w:top w:val="single" w:sz="6" w:color="D9D9E0"/>
              <w:left w:val="single" w:sz="6" w:color="D9D9E0"/>
              <w:bottom w:val="single" w:sz="6" w:color="D9D9E0"/>
              <w:right w:val="single" w:sz="6" w:color="D9D9E0"/>
            </w:tcBorders>
          </w:tcPr>
          <w:p>
            <w:pPr>
              <w:spacing w:before="50" w:after="50"/>
            </w:pPr>
            <w:r>
              <w:rPr>
                <w:sz w:val="16"/>
              </w:rPr>
              <w:t>Medium - commercial risk (renewals) plus fairness reporting.</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Enterprise tier, Latin America region, non-fluent English speakers (retrieval-side).</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Fairness NFR: no segment more than 15pp below the best on FCR or CSAT proxy. Retrieval quality tested per segment; if a segment fails, query rewriting or alternative embeddings before shipping.  [Trace: EV-S4, EV-R1, EV-M4; EV-DATA-06/07/08/09 fairness segments]</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documentation the system relies on goes out of date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6"/>
              </w:rPr>
              <w:t>Medium - expected over a compliance-review horizon.</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Medium - wrong-but-cited is worse than uncited-and-unknown.</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The customer receiving the outdated answer; Ines who maintains the corpus.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last_reviewed_days_ago field surfaced in the citation. Drift monitor that flags articles unretrieved for &gt; N days. Manual review trigger.  [Trace: EV-I1 (Ines maintains rotation-reviewed KB); EV-D2 (private snippets drift 2+ years)]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Model provider outage or rate-limit at inference time</w:t>
            </w:r>
          </w:p>
        </w:tc>
        <w:tc>
          <w:tcPr>
            <w:tcW w:type="dxa" w:w="1152"/>
            <w:tcBorders>
              <w:top w:val="single" w:sz="6" w:color="D9D9E0"/>
              <w:left w:val="single" w:sz="6" w:color="D9D9E0"/>
              <w:bottom w:val="single" w:sz="6" w:color="D9D9E0"/>
              <w:right w:val="single" w:sz="6" w:color="D9D9E0"/>
            </w:tcBorders>
          </w:tcPr>
          <w:p>
            <w:pPr>
              <w:spacing w:before="50" w:after="50"/>
            </w:pPr>
            <w:r>
              <w:rPr>
                <w:sz w:val="16"/>
              </w:rPr>
              <w:t>High - free tier throttles routinely; grading window unknown.</w:t>
            </w:r>
          </w:p>
        </w:tc>
        <w:tc>
          <w:tcPr>
            <w:tcW w:type="dxa" w:w="1008"/>
            <w:tcBorders>
              <w:top w:val="single" w:sz="6" w:color="D9D9E0"/>
              <w:left w:val="single" w:sz="6" w:color="D9D9E0"/>
              <w:bottom w:val="single" w:sz="6" w:color="D9D9E0"/>
              <w:right w:val="single" w:sz="6" w:color="D9D9E0"/>
            </w:tcBorders>
          </w:tcPr>
          <w:p>
            <w:pPr>
              <w:spacing w:before="50" w:after="50"/>
            </w:pPr>
            <w:r>
              <w:rPr>
                <w:sz w:val="16"/>
              </w:rPr>
              <w:t>Medium - every failed request is a delayed ticket, not a wrong one, if we degrade gracefully.</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Every ticket in flight during the outage.</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degrade-gracefully: retry with exponential backoff, cache last-known-good, fall back to 'we're investigating' escalation with retrieved docs attached. Never crash.  [Trace: Pack constraint A11 (graceful degradation)]</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Rate limit exceeded on a full validation run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6"/>
              </w:rPr>
              <w:t>Medium - 80 tickets x N model calls is the pinch point.</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Medium - cannot complete the gate run.</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The build itself.</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Cache model responses during development. Backoff + queue. Limit N calls per ticket via the D-06 ADR.  [Trace: Pack cost-nothing rule; not evidence-derived]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Compliance audit cannot reconstruct a decision</w:t>
            </w:r>
          </w:p>
        </w:tc>
        <w:tc>
          <w:tcPr>
            <w:tcW w:type="dxa" w:w="1152"/>
            <w:tcBorders>
              <w:top w:val="single" w:sz="6" w:color="D9D9E0"/>
              <w:left w:val="single" w:sz="6" w:color="D9D9E0"/>
              <w:bottom w:val="single" w:sz="6" w:color="D9D9E0"/>
              <w:right w:val="single" w:sz="6" w:color="D9D9E0"/>
            </w:tcBorders>
          </w:tcPr>
          <w:p>
            <w:pPr>
              <w:spacing w:before="50" w:after="50"/>
            </w:pPr>
            <w:r>
              <w:rPr>
                <w:sz w:val="16"/>
              </w:rPr>
              <w:t>Low - if we log correctly.</w:t>
            </w:r>
          </w:p>
        </w:tc>
        <w:tc>
          <w:tcPr>
            <w:tcW w:type="dxa" w:w="1008"/>
            <w:tcBorders>
              <w:top w:val="single" w:sz="6" w:color="D9D9E0"/>
              <w:left w:val="single" w:sz="6" w:color="D9D9E0"/>
              <w:bottom w:val="single" w:sz="6" w:color="D9D9E0"/>
              <w:right w:val="single" w:sz="6" w:color="D9D9E0"/>
            </w:tcBorders>
          </w:tcPr>
          <w:p>
            <w:pPr>
              <w:spacing w:before="50" w:after="50"/>
            </w:pPr>
            <w:r>
              <w:rPr>
                <w:sz w:val="16"/>
              </w:rPr>
              <w:t>Very high - is a governance-tier gate failure.</w:t>
            </w:r>
          </w:p>
        </w:tc>
        <w:tc>
          <w:tcPr>
            <w:tcW w:type="dxa" w:w="1728"/>
            <w:tcBorders>
              <w:top w:val="single" w:sz="6" w:color="D9D9E0"/>
              <w:left w:val="single" w:sz="6" w:color="D9D9E0"/>
              <w:bottom w:val="single" w:sz="6" w:color="D9D9E0"/>
              <w:right w:val="single" w:sz="6" w:color="D9D9E0"/>
            </w:tcBorders>
          </w:tcPr>
          <w:p>
            <w:pPr>
              <w:spacing w:before="50" w:after="50"/>
            </w:pPr>
            <w:r>
              <w:rPr>
                <w:sz w:val="16"/>
              </w:rPr>
              <w:t>CloudServe's compliance posture; Marcus's autumn review.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Persistent decision log with the pack-mandated schema (prompt_version, requirement_ids, sources_used, threshold_applied). Reconciliation report at run-end.  [Trace: EV-M5 (autumn compliance review)]</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docs_comment customers get the same answer twice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6"/>
              </w:rPr>
              <w:t>High - they already tried the docs; if we serve them the same passage, we haven't helped.</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Medium - bad customer experience on the highest-repeat channel.</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6"/>
              </w:rPr>
              <w:t>The 15.6% of intake that comes via docs_comment.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Route docs_comment tickets through a distinct path that acknowledges the prior attempt. Elevate answers with contextual explanation, or route to a human. Detected via the channel field at ingest.  [Trace: EV-DATA-09 (docs_comment channel worst); EV-R1 (Ravi's self-search-then-give-up pattern)]</w:t>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Section six: the problem statement</w:t>
      </w:r>
    </w:p>
    <w:p>
      <w:pPr>
        <w:spacing w:after="140"/>
      </w:pPr>
      <w:r>
        <w:rPr>
          <w:i w:val="0"/>
          <w:sz w:val="21"/>
        </w:rPr>
        <w:t>Now, and only now, write down what the problem actually is. Every clause of what you write must be supported by a row you have already filled in, and you are asked to cite those rows explicitly. This is the paragraph your entire project rests on.</w:t>
      </w:r>
    </w:p>
    <w:tbl>
      <w:tblPr>
        <w:tblW w:type="auto" w:w="0"/>
        <w:jc w:val="center"/>
        <w:tblLayout w:type="fixed"/>
        <w:tblLook w:firstColumn="1" w:firstRow="1" w:lastColumn="0" w:lastRow="0" w:noHBand="0" w:noVBand="1" w:val="04A0"/>
      </w:tblPr>
      <w:tblGrid>
        <w:gridCol w:w="3216"/>
        <w:gridCol w:w="3216"/>
        <w:gridCol w:w="3216"/>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Element</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statement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Which section and row supports it</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What the client asked for</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A chatbot that answers the easy tickets so agents can handle the hard ones.</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Section 1, Marcus row.</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What the evidence suggests they actually need</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A retrieval-first support assistant that: (a) drafts a cited answer for the roughly 62% of tickets whose correct route is auto-respond, sending it only when calibrated confidence exceeds a threshold set from data; (b) hands the drafted answer and retrieved passages to a tier-one agent when confidence is borderline; (c) enriches tier-two escalations with the docs, the T1 uncertainty flag, and any draft; (d) always escalates the four intents where an automated answer is not appropriate (compliance, security incidents, feature requests, unclear requests).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Section 2, rows on answerable_from_docs (71.4%) and must_not_auto_respond (17.4%). Section 3, Sofia's workflow steps 2-5. Section 4, Marcus's FCR-over-reply-time preference. Section 1, Daniel's context-attached-escalation ask and Ines's citation-back-to-article ask.</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The gap between those two</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A chatbot that generates answers from a language model without solving retrieval scales the underlying failure. The answers already exist inside 29 articles; the failure is finding them. Same LLM techniques, but shaped by what is actually broken.</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Section 1 through-line; Section 2 answerable_from_docs row; Section 4 sentence-test rows.</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Who is affected and how</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Customers: median 214 minutes for a response, in a corpus where 71% of answers already exist. Tier-one agents: rebuilding answers from private snippet files that drift over years. Tier-two engineers: bare forwarded tickets, re-asking the customer. Ines: her articles unused internally. Enterprise tier: worst FCR (37%) and slowest median (369 min). Docs-comment channel: 34.6% FCR, 33% repeat-contact.</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Section 1 (all interview rows); Section 2 (tier and channel segment rows).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What will change if this is solved</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FCR moves from 44% to 60%+ overall (staying at 70% on the auto-respond segment). Median time to first reply drops from 214 minutes to under 60. Repeat contact drops from 22% to under 15%. Escalations arrive at tier two with context, reducing avoidable escalation from 38% toward zero. Every response is auditable back to the model version, prompt version, retrieved sources, and threshold.</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Section 4 measures + sentence test; Section 2 baseline rows.</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What is explicitly not in scope</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Feature requests, roadmap or timing questions, novel-incident triage, billing disputes, security incidents. All escalate unconditionally. This project does not build a chatbot; it does not replace agents; it does not attempt to compress hard technical tickets into short answers.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Section 1 (Daniel, Ines rows on do-not-automate); Section 5 risk on 'answers confidently and incorrectly'.</w:t>
            </w:r>
          </w:p>
        </w:tc>
      </w:tr>
    </w:tbl>
    <w:p>
      <w:pPr>
        <w:spacing w:after="80"/>
      </w:pPr>
    </w:p>
    <w:p>
      <w:pPr>
        <w:spacing w:before="300" w:after="60"/>
      </w:pPr>
      <w:r>
        <w:rPr>
          <w:b/>
          <w:color w:val="1A1A2E"/>
          <w:sz w:val="25"/>
        </w:rPr>
        <w:t>The one paragraph version</w:t>
      </w:r>
    </w:p>
    <w:p>
      <w:pPr>
        <w:spacing w:after="140"/>
      </w:pPr>
      <w:r>
        <w:rPr>
          <w:i w:val="0"/>
          <w:sz w:val="21"/>
        </w:rPr>
        <w:t>Write the problem in a single paragraph, in language the head of support would recognise and agree with. No technical vocabulary. If you cannot express it without mentioning retrieval or embeddings, you are describing your solution rather than their problem.</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Before you move to stage two</w:t>
            </w:r>
          </w:p>
          <w:p>
            <w:pPr>
              <w:spacing w:after="160"/>
            </w:pPr>
            <w:r>
              <w:rPr>
                <w:color w:val="333344"/>
                <w:sz w:val="20"/>
              </w:rPr>
              <w:t>Read your problem statement back against each of the five transcripts in turn and ask whether that person would recognise it as a description of their situation. If any of the five would object, either your framing is off or you have found something they cannot see, and you should be able to say which. A statement that all five would simply agree with is usually one that has not gone far enough.</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One  ·  Discovery Workbook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