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5 (FR-04 text revised; NFR-01a text revised three times — v2 on 2026-08-31, v3 on 2026-09-02, v3 note appended today for D-02a; NFR-05 text revised); PRD Table 9 Q7 resolved 2026-09-03 as DEFERRED; two code fixes 2026-09-03 pm (example.com suppression removed, tone/scope guardrail built)</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 One column added to the decision-log record (run_id, row 6). One vocabulary widening on the action_taken column (row 7).</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1 (FR-25, removed 2026-09-02 after data check disproved its assumption)</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(article title, doc_id, URL) from Ticket.body before the retrieval query is formed. Stripped content SHALL be preserved in Ticket.warnings for auditability.' Priority: SHOULD.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v2.2 (2026-09-02): REMOVED. Not superseded, not folded in — cut outright. The FR is withdrawn from the PRD. The docs_comment channel's FCR gap is still real and remains a known limitation to be reported in the B-24 fairness audit, but the specific mitigation FR-25 named is not the right one for this dataset.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Data Fidelity check on 2026-09-02 during B-28 (src/ingest.py) implementation. Sampled all 78 docs_comment tickets in data/development_tickets.json for the reference patterns FR-25 assumed: URL patterns (0/78), DOC-XXX-NNN identifiers (0/78), 'docs.cloudserve' hostnames (0/78), '/docs/' path fragments (0/78), and vocabulary like 'article', 'guide', 'documentation' (0/78). Five sampled tickets read as normal support questions with no explicit article reference. My Monday-night reasoning for FR-25 was based on inferring from EV-I2 (Ines's search-doesn't-work story) that customers would mention what they were reading. The data disproves that. Root cause of the docs_comment fairness gap is likely selection bias (these are self-serve-then-failed customers), not confusable body references. This is the Data Fidelity discipline catching its own error — an FR was written on a plausible assumption without a data check, and the data check comes at implementation time. Recording the removal honestly is what the pack's revision log exists for.</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FR-01 — Ingest / four-channel normalisation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'...produce one normalised Ticket object preserving `channel`, `body`, `received_at`, all customer segment fields and all `labels.*` fields.'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(2026-09-03): '...preserving `channel`, `body`, `received_at` and all customer segment fields. Evaluation-only fields (`labels.*`, `history.*`) SHALL NOT be carried on the Ticket; the evaluation harness reads them directly from the raw record.'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B-28 (src/ingest.py) on 2026-09-03. The implementation deliberately drops labels.* and history.*, per capstone-component-impl's anti-pattern 'reading the ticket labels during production' — production code must never see ground truth it will not have at inference. FR-01 v1 required the opposite, so the module docstring claimed to satisfy a requirement whose text it contradicted. Verified no breakage: evaluation/d02_retrieval_check.py and evaluation/q3_pilot_script.py already read labels straight from the raw JSON, never off a Ticket, and the Ticket schema never had a labels field. Impact: B-19 (harness) must keep reading ground truth from the raw record; FR-01's acceptance criteria (A2) are unaffected.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 (evidence base corrected, 2026-09-03)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(2026-09-02): floors unchanged — 'aggregate floor 90% at hit@3 AND at least 90% within each of the 22 intent classes'. Evidence was B-30, measured with store.similarity_search(body, k=15): no relevance scores, no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text UNCHANGED. What changed is the evidence: the floors are now measured through src/retrieve.py itself — the production path, including the relevance threshold. Aggregate hit@3 = 94.1% at the D-02a threshold of 0.25. The per-class floor is NOT met: 15 of 20 answerable intent classes clear 90%; onboarding (80%), integration_help, deployment_failure, api_key_issue and webhook_issue do not. That gap is ranking quality, not thresholding — it is identical with no threshold at all — and is B-05's territory.</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(src/retrieve.py) on 2026-09-03 measured hit@3 through retrieve() for the first time and found 52.4%, not the 94.1% B-30 reported. Cause: the Chroma collection carried no hnsw:space, so LangChain scored with 1.0 - distance/sqrt(2) on un-normalised MiniLM vectors, producing scores from -0.094 to 0.650; the uncalibrated 0.35 floor then cut 42% of correct answers and left 151 of 357 answerable tickets with zero passages. Fixed in D-02a (cosine space, threshold 0.25 by measurement). The lesson recorded here is the evidence gap: NFR-01a's floors had been validated on a code path production did not use, so a 38-point shortfall was invisible until B-21 would have surfaced 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D-02a (NEW ADR) — retrieval distance metric + relevance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v2.2 (2026-09-02 and earlier): D-02 chose the MiniLM-L6-v2 embedder but did not specify a distance metric. Chroma took its L2 default. LangChain scored L2 output with `1.0 - distance / sqrt(2)` — a formula for normalised vectors applied to un-normalised MiniLM. Relevance scores landed in -0.094 to 0.650. RETRIEVAL_THRESHOLD stayed at the illustrative 0.35 from .env.example. Same 357 answerable dev tickets, same B-30 ranking, but through retrieve(): hit@3 collapsed from 94.1% (no threshold) to 52.4%. DEV-0008 — the PR-CLASSIFY-01 happy-path case — was one of 151 tickets returning zero.</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D-02a written and accepted (docs/adr/D-02a-retrieval-distance-metric-and-threshold.md). src/index_docs.py builds the collection with hnsw:space=cosine; the RETRIEVAL_THRESHOLD default moves from 0.35 to 0.25 (measured recall ceiling on the sweep — 0.25 gives 94.1% hit@3 identical to no-threshold). src/retrieve.py adds _assert_distance_space that logs ERROR at open time on any mismatch. NFR-01a v3 aggregate 90% floor now cleared with 4 points of headroom instead of failing by 38 silently. Per-class floor still fails for 5 intents at any threshold — flagged in the ADR as a ranking-quality gap that belongs to B-05 territory, not to the threshold.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(2026-09-03) ran retrieve() end-to-end for the first time and caught the LangChain 'Relevance scores must be between 0 and 1' warning that had been present but ignored. Isolated the score-scale cause, measured the sweep (0.00 to 0.40 in 0.05 steps), picked 0.25 at the recall ceiling. Without this catch, B-21 Friday gate would have failed silently on NFR-01a's aggregate floor. Requires one-off `python -m src.index_docs` re-run to switch the on-disk index — the _assert_distance_space guard makes stale indexes visible as an ERROR log line rather than a bad hit rate five days later.</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Q7 — FR-GUARD-01..04 scope decision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morning): Q7 open — 'Are FR-GUARD-01..04 (input length/emptiness, prompt-injection heuristics, output PII redaction, retrieval-confidence hard block) in scope for this build, or deferred to future work?' Hard deadline before B-11 because generate.py's design branches on whether FR-GUARD-04 owns the low-retrieval-confidence case or B-10's PR-GENERATE-02 does. Two ACCEPTED (provisional) ADRs — D-03a and D-05a — already cited FR-GUARD-04 in their Constrains lines; tests/test_guardrails.py already encoded a test contract for all four; PR-GENERATE-01 v2.0 had stripped two FR-GUARD-04 references citing 'does not exist in the Stage 2 PRD' (a technically true but substantively wrong justification).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Q7 RESOLVED as DEFERRED to Week 3 candidate. Actions: (1) FR-GUARD-04 stripped from D-03a and D-05a Constrains lines with dated notes preserving traceability to this resolution; (2) tests/test_guardrails.py marked module-level skip with reason 'FR-GUARD-01..04 deferred to Week 3 per PRD Table 9 Q7 (2026-09-03)' — file kept intact for Week 3 revisit, no code lost; (3) PR-GENERATE-01 v2.0 changelog entry (e) corrected earlier today already reflects the deferred-not-typo status; (4) PRD Table 1 version cell bumped to v2.3.1 recording the Q7 close.</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Rationale for DEFERRED over IN-SCOPE: (a) Time pressure asymmetric — Friday is B-21 gate day, every hour on drafts is an hour not on critical-path B-11..B-20; deferring is reversible, merging then unwinding on Friday morning is not. (b) Coverage not materially reduced — FR-16 (PII), FR-17 (grounding), FR-18 (instruction-integrity), FR-19 (confidence-floor) already blocking; FR-GUARD-04 overlaps FR-19 in spirit (both gate on 'confidence too low, don't respond') and FR-14 in mechanism (unknown=true when retrieval empty or model can't ground). (c) The signal is weak — per D-02a's sweep only ~14 of 143 non-answerable tickets return zero passages at 0.25, so a top-score gate is a poor answerability instrument. Revisit trigger: if B-21 exposes an ungrounded-response failure mode that FR-17 doesn't catch, reopen Q7 in Week 3 with the specific failure fixture in hand.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_looks_like_placeholder no longer suppresses example.com/example.org</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earlier today): _looks_like_placeholder returned True for any RFC 2606 reserved domain. Both `test@example.com` and `billing@cloudserve.example.com` were silently skipped by the PII regex layer. FR-16's acceptance criterion ("A crafted response containing 'test@example.com' triggers block=true") was untestable-as-written; PR-GUARDRAIL-PII-01's T-02 fixture asserted detection of both emails but the code skipped them. Requirement, prompt, and code disagreed three ways.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example.com/example.org check removed from _looks_like_placeholder. The docstring now names why (FR-16 canary is precisely the 'template placeholder shipped to a real customer' failure mode; suppressing it defeats the point). Legitimate placeholders (`&lt;your-team-email&gt;`, `YOUR_API_KEY`) still whitelisted via the angle-bracket and SHOUTING_CASE rules. Two new tests added to tests/test_guardrails_prd.py: test_pii_fr16_acceptance_canary_test_at_example_com_blocks and test_pii_pr_guardrail_pii_01_t02_fixture_blocks — both lock the FR-16 acceptance and the T-02 fixture end-to-end.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Requirement, prompt fixture, and code now agree. Traceability audit passes; the FR-16 canary is testable-as-written. The 'RFC 2606 addresses can't be real customer contact points' argument is technically correct but wins in the wrong direction — the acceptance test is written specifically to catch a template placeholder accidentally landing in a real reply, which is exactly the pattern the RFC 2606 reservation targets. Removing the suppression was the right call.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fifth (tone/scope) guardrail built to match architecture.md §6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morning): src/guardrails.py implemented four blocking guardrails (FR-16 PII, FR-17 grounding, FR-18 instruction integrity, FR-19 confidence floor). Sprint Plan Table 3 B-14 DoD and docs/architecture.md §6 both explicitly named FIVE safety checks — the fifth being 'tone/scope: blocks commitments about refunds, delivery timings, product roadmap items'. The module carried four; the description and the code disagreed. Prompt-side scope instruction in PR-GENERATE-01 was requesting the behaviour without any code control enforcing it — inconsistent with the project's own repeated principle that a prompt is a request and code is the control.</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PR-GUARDRAIL-TONESCOPE-01 prompt (v1.0, 326 lines, six test cases) + ToneScopeGuardrail class (regex + LLM two-pass, same contract-enforcement / fail-safe shape as PII and grounding) + _fail_tonescope helper + 10 new pytest cases. run_all() returns five guardrails now, in order [pii, grounding, instruction_integrity, tone_scope, confidence_floor]. Module docstring updated 'four'-&gt;'five' with a paragraph explaining the traceability gap (no PRD FR yet).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Traceability. The five guardrails now match Sprint Plan Table 3 B-14 DoD and architecture.md §6 exactly. Tone/scope is NOT tied to a PRD FR — it's traced via R-04 (commitment/liability risk) and EV-D4 (Daniel: billing disputes become contractual). Adding FR-25 for tone/scope is intentional debt, logged in Table 5. Prompt frontmatter and module docstring both name this gap explicitly so a future reader isn't surprised.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FR-10 — Routing escalation triggers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router SHALL escalate ... any ticket where `labels.must_not_auto_respond=true`, OR classifier confidence &lt; CONFIDENCE_THRESHOLD, OR retrieval returned an empty passage list, OR any guardrail blocked.'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(2026-09-04): the label reference is replaced by the D-07 never-auto-respond policy set (compliance_request, security_incident, feature_request, unclear_request), and two triggers already agreed elsewhere are written into the FR: a blocking guardrail failure routes to 'block', and decision_logged=False routes to escalate per D-03b. Acceptance now states explicitly that the router SHALL NOT read labels.must_not_auto_respond.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Scoping B-15 (src/route.py) on 2026-09-04 found FR-10 v1 unimplementable: it required labels.must_not_auto_respond, which FR-01 v2 (2026-09-03) had deliberately removed from the Ticket because labels.* are evaluation ground truth. Verified the substitute is exact rather than approximate — the policy set reproduces the flag with precision 1.000 and recall 1.000 on the 500-ticket dev set (87/87) and the 80-ticket validation set (14/14), because EV-DATA-10 shows the flag is driven by ticket type. Caveat recorded in D-07: those figures are against TRUE intent; in production the router sees the CLASSIFIER's intent, so effective recall is bounded by classifier recall on the four classes and is measured at B-21.</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D-05 confidence threshold — measured (D-05b); NFR-07 precision constraint recorded UNMET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D-05 (2026-08-30): threshold deferred to a measured sweep, provisional 0.80 in .env.example. Selection rule: maximise the FCR proxy subject to auto-respond precision &gt;= 0.95 (EV-M3).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D-05b (2026-09-04): CONFIDENCE_THRESHOLD = 0.85, chosen as a documented judgement because D-05's rule selects NOTHING — no threshold from 0.50 to 0.95 reaches the 0.95 precision floor. Measured ceiling 0.760 at a usable operating point; 0.95 precision needs threshold 0.95, which answers 13 of 80 tickets (FCR 0.138) and fails the business case. PRD Q6 answered: single threshold, no tier differentiation.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B-16 sweep on the 80-ticket validation set, 2026-09-04, 238 live model calls, 0 failures. Two findings drove the entry. (1) The confidence threshold is NOT the binding constraint: precision moves only 0.719-&gt;0.760 across a 35-point threshold range and is non-monotonic (0.90 scores below 0.85), while 17 of 18 false positives are answerable_from_docs=false tickets that were classified CORRECTLY. Answerability, not confidence, bounds precision. (2) FR-14's unknown branch, the control designed for exactly that case, is inert in practice: of 26 unanswerable tickets WITH passages, the generator declined on 1. It is not over-abstaining (2 of 53 answerable wrongly flagged) — it simply answers from loosely-related passages. That is R-01 reproducing under measurement. Remediation is PR-GENERATE-01 calibration plus the FR-17 grounding guardrail, which was excluded from this sweep and is the untested control most likely to reach the floor. Prerequisite bug fixed the same day: httpx was unpinned and resolved to 0.28.x, which is incompatible with openai 1.30.0 — every live model call had been failing to unknown, silently, since the project began.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Masterclass-integration drafts are half-applied. The ADRs (D-03a, D-05a), the guardrail test contract and PR-GENERATE-01 were written to canonical locations, but FR-GUARD-01..04, the backlog amendments and the governance schema extension were never pasted into the workbooks. Found 2026-09-03 while scoping B-10.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Scope decision, not a defect — four new guardrail FRs is real work in a week already carrying B-11 at 5h, so it is recorded as PRD Table 9 Q7 rather than resolved unilaterally. Three specific conflicts were found and were not recorded anywhere until now. (a) backlog_amendments.md amends rows BY NUMBER and the numbers are wrong: it assumes B-11=guardrails, B-15=generate.py, B-19=logging_store, while the live Stage 4 plan has B-14=guardrails, B-11=generate.py, B-15=route.py, B-19=harness. It says 'Replace DoD with:', so pasting it as written would overwrite the wrong rows. (b) FR-GUARD-04's MIN_RELEVANCE_SCORE overlaps D-02a's RETRIEVAL_THRESHOLD — same score scale, same candidate range, two separate gates, one already set at 0.25 by measurement. (c) D-03a and D-05a cite FR-GUARD-04 while the PRD does not contain it.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~1h if done before B-10: merge the four FRs into PRD Table 4, renumber the backlog amendments against the live plan, and fold MIN_RELEVANCE_SCORE into D-02a so there is one gate backed by one sweep. Materially more after B-10 and B-11 exist, because the prompt and the generator would each have encoded an answer to 'who owns the low-retrieval-confidence case' — and they could encode different ones.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Hard deadline before B-11 (where generate.py calls into guardrails); preferred before B-10 as discipline, which costs nothing and keeps a row of slack. Tracked as PRD Table 9 Q7. Re-estimate B-14 (currently 4h for five guardrails) in the same pass — it is on Thursday's row with the B-21 gate the next day.</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Tone/scope guardrail — no PRD FR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Sprint Plan Table 3 B-14 and architecture.md §6 both name a fifth 'tone/scope' safety check that blocks commitments about refunds, delivery timings, and product roadmap items. src/guardrails.py has the ToneScopeGuardrail class + PR-GUARDRAIL-TONESCOPE-01 prompt + regex + tests, all shipped 2026-09-03. But there is no PRD FR to trace the guardrail to. Traceability is via R-04 (commitment/liability risk) and EV-D4 (Daniel: billing disputes become contractual quickly).</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traceability_audit.py script currently PASSes because it checks EV-tags against FRs, not code against FRs. If the audit is extended (Week 3 candidate) to check src/guardrails classes against FRs, ToneScopeGuardrail will surface as an orphan control until FR-25 is added. The guardrail itself is correct and grading-safe; the paperwork gap is what's tracked here.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Add FR-25 (tone/scope: block commitment claims about refunds, delivery timings, roadmap items) to PRD Table 4 in Week 3. Cite R-04 + EV-D4 as evidence. Update prompt frontmatter to cite FR-25, update src/guardrails.py Satisfies line to include it. About 20 minutes end-to-end, no code change needed.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5 — FR-17 grounding guardrail rejects verbatim text (llama-3.1-8b). BLOCKING for auto-respond.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Not left by choice — the fix is identified but unwired. v1.0 blocked 71/71 drafts it judged on the validation set (48 of them ground-truth auto_respond), taking the system from 64 auto-answers to 0. Prompt recalibration to v2.0 (strictness instruction replaced, equivalence rules, five worked examples promoted into the system prompt) changed NOTHING — it still flags claims that are byte-for-byte in the passage, e.g. 'Select roll back on that revision'. Root cause is model capability, not instructions. A/B on PINNED drafts: llama-8b gets VAL-0001 wrong and VAL-0002 right; nvidia/nemotron-3-super-120b-a12b:free gets BOTH right, flagging exactly the fabricated status claims. FR-17 can stand as written if the judge model changes.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~30 min to wire: add GUARDRAIL_MODEL to config, use it in guardrails._openrouter_call, add an empty-content guard (nemotron returned None once). Then ~40 min to re-measure the false-positive rate across all 80 validation tickets rather than the 2-case sample. Note gemma-4-31b and glm-5.2 were both rate-limited on the shared free pool, so judge availability is itself a constraint.</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BEFORE B-21 if a meaningful auto-respond rate is wanted in the gate report; otherwise run B-21 with --skip-guardrails for the diagnostic number and record both.</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6 — generation is not reproducible run-to-run. A5 risk.</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Same ticket, same code, temperature=0.0, seed passed to the provider — different draft text on re-run. Discovered when a judge A/B produced opposite verdicts because the generator had written a different answer, not because the judge changed. OpenRouter free-tier providers commonly ignore `seed`. The router IS deterministic (pure function, no model call), so FR-09 holds; the pipeline as a whole does not. Every measurement taken this week (71/71 grounding, B-16 sweep, FR-14 1-in-26) was on drafts that will not reproduce exactly — the effects are large enough that the conclusions stand, but the precise figures carry more variance than a single run implies.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Cheap to CONFIRM (run one ticket 3x, diff). Expensive to FIX — it is a provider property, not ours. Realistic options: state the limitation honestly in the report, or pin a provider via OpenRouter provider routing and re-test.</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Confirm before B-21 so the gate report states A5 accurately. Any future guardrail or prompt A/B MUST pin the draft text, as the nemotron comparison did, or it compares two variables at once.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Bugs 7-9 — three guardrail/generator defects surfaced by the first B-19 harness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(7) Doubled reason string: 'pii_guardrail_contract_violation: pii_guardrail_contract_violation: passed=True n_detections=1' — the sentinel is prefixed twice and lands in the decision log that way. (8) PII false positive on VAL-0011 (account_number=1): _RE_ACCOUNT includes a bare \b\d{13,19}\b that matches any long digit run, and a rollback answer has no account number. (9) Tone/scope false positive on VAL-0005 (eta=1) on a draft about cursor expiry — the ETA regex does NOT match any phrase in it, so the LLM half fired. Also reproducing: the generator emits duplicate citations ('DOC-DEPLOY-002' twice) with markers stapled to the end of the answer rather than after the sentence that relies on them, against PR-GENERATE-01's citation rule.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(7) one-line string fix. (8) ~15 min: require a CUST/ACC/ACCT prefix or a card-shaped grouping rather than any 13-19 digit run, plus a regression test. (9) needs the same measurement treatment as Bug 5 — it may be the same capability ceiling in a different guardrail. Duplicate citations: dedupe preserving order in generate._parse_response, ~5 min.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(7) and the citation dedupe at any tidy-up pass. (8) and (9) alongside Bug 5, since all three are guardrail false positives and should be re-measured together on the same run.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Design gap — the system has no customer-facing response for escalate or block</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PRD search for acknowledgement / holding-reply / interim-message requirements returns ZERO matches. FR-14 makes it explicit: on unknown, `answer` is the empty string. So the requirements define exactly one customer-facing response, the grounded auto-reply; on every other path the customer hears nothing by design. This is why VAL-0002 produced a fabricated status update ('Our team has checked the destination... we will update you as soon as possible') — the ticket needed a response and the system offers no legitimate way to give one, so the model invented one. Three of the four never-auto-respond intents (compliance, security, feature request) are exactly where customer silence is worst, and EV-R2 (Ravi) asked for automation that is honest about itself, which implies it says something.</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 new FR plus a template acknowledgement carrying no factual claims (nothing for the grounding guardrail to reject). Small to build; it is a SCOPE decision, not a defect fix, so it needs an owner rather than an estimate.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Decide before the Stage 5 PRD revision (B-22) — either add the FR or record it explicitly as out-of-scope, so the report does not leave the gap unexplained.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Housekeeping — temporary debug logging still live in src/guardrails.py; D-05b not yet updated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Five TEMP DEBUG markers remain in GroundingGuardrail. They earned their place three times over (they found llama's stated reason, caught that a judge A/B was invalidated by 429s, and exposed a null ticket_id) but they log full draft answers at INFO on every call — verbose, and it puts customer-facing text into the log file. Separately, D-05b's revisit trigger explicitly named the grounding measurement and has not been updated with the result. README also still documents `python -m src.api`, which is a one-line stub.</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Debug removal: 5 min (pre-debug copies saved at /private/tmp/claude-503/guardrails.py.before-*). D-05b update: ~20 min. README correction: 2 min.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Strip the debug logging BEFORE any long or unattended run. Update D-05b before B-22.</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No token limits anywhere: max_tokens unset, input uncapped, and completion.usage discarded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Measured 2026-09-12. Nothing caps output, nothing counts tokens, and the provider returns prompt_tokens/completion_tokens on every call which we throw away. Sizes: system prompts cost ~6,700 tokens per ticket across all six stages (PR-CLASSIFY-01 ~1,344; PR-GUARDRAIL-GROUNDING-01 ~1,552 is the largest), while REAL ticket bodies are 28-245 chars — negligible, so ordinary tickets are not the risk. The exposure is unbounded INPUT: ingest deliberately accepts a 100k-char body (tests/test_ingest.py::test_oversized_body_ingests_without_raising, correct for A11) and nothing truncates it before the prompt — measured at ~26,359 tokens for a single classify call, ~100k+ across the pipeline. The guardrail that would cover this is FR-GUARD-01 (input length and emptiness), which PRD Table 9 Q7 deferred to Week 3, so this is a consequence of that scope decision rather than an oversight. Context headroom is comfortable (llama-3.1-8b's window far exceeds ~7k), so this is a COST and OBSERVABILITY gap, not an imminent overflow.</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Industry practice (researched 2026-09-12) is three things, and we do only the third. (1) Allocate the output budget first and work backwards so input+output &lt;= context window; max_tokens is a guard rail, and set too low it truncates answers mid-sentence. (2) Cap retrieval aggressively — the documented anti-pattern is passing 4-8 long documents where a paragraph would do; we already do this correctly (top_k=5, 800-char chunks). (3) Capture input/output tokens, model id and USD cost on EVERY call — input tokens reveal prompt bloat and oversized RAG injections, completion tokens catch runaway generation from missing stop sequences. Both are precisely our unmeasured risks. COST TO FIX: usage capture ~20 min and is free (the provider already returns it) — it turns D-06's cost cap and EV-MC3-COST from an estimate into a measurement in metrics_report.json. Input cap is FR-GUARD-01's job. max_tokens is one config line and the LOWEST risk of the three, since response_format={'type':'json_object'} already bounds output in practice. Sources: apxml RAG cost-optimisation; Braintrust 'How to track LLM token usage (2026)'; Redis 'LLM Token Optimization 2026'; Agenta context-length techniques.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Capture completion.usage BEFORE B-22 / the report, so the cost story is measured rather than estimated — it is the highest value-per-minute item outstanding. Add the input cap when Q7 revisits FR-GUARD-01. Add max_tokens at any tidy-up pass. Revisit all three immediately if a hidden-set ticket ever exceeds the context window, or if a run's cost is questioned and we have no per-call numbers to answer with.</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