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Two: Requirements</w:t>
      </w:r>
    </w:p>
    <w:p>
      <w:pPr>
        <w:spacing w:after="280"/>
        <w:jc w:val="center"/>
        <w:pBdr>
          <w:bottom w:val="single" w:sz="10" w:space="6" w:color="E8660A"/>
        </w:pBdr>
      </w:pPr>
      <w:r>
        <w:rPr>
          <w:color w:val="E8660A"/>
          <w:sz w:val="26"/>
        </w:rPr>
        <w:t>The product requirements document you write from your findings</w:t>
      </w:r>
    </w:p>
    <w:p>
      <w:pPr>
        <w:spacing w:after="400"/>
        <w:jc w:val="center"/>
      </w:pPr>
      <w:r>
        <w:rPr>
          <w:i/>
          <w:color w:val="4A4A63"/>
          <w:sz w:val="21"/>
        </w:rPr>
        <w:t>Everything here must trace back to your discovery workbook. A requirement that</w:t>
        <w:br/>
        <w:t>cannot be traced is a preference, and preferences do not belong in a PRD.</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ONE  ·  DAYS FOUR AND FIVE</w:t>
            </w:r>
          </w:p>
        </w:tc>
      </w:tr>
    </w:tbl>
    <w:p>
      <w:r>
        <w:br w:type="page"/>
      </w:r>
    </w:p>
    <w:p>
      <w:pPr>
        <w:spacing w:before="440" w:after="60"/>
        <w:pBdr>
          <w:bottom w:val="single" w:sz="8" w:space="6" w:color="E8660A"/>
        </w:pBdr>
      </w:pPr>
      <w:r>
        <w:rPr>
          <w:b/>
          <w:color w:val="1A1A2E"/>
          <w:sz w:val="34"/>
        </w:rPr>
        <w:t>What this document is and why it matters</w:t>
      </w:r>
    </w:p>
    <w:p>
      <w:pPr>
        <w:spacing w:after="140"/>
      </w:pPr>
      <w:r>
        <w:rPr>
          <w:i w:val="0"/>
          <w:sz w:val="21"/>
        </w:rPr>
        <w:t>A product requirements document states what is being built, for whom, and how anyone will know when it is finished. It is not a design document and it is not a plan. It should be specific enough that two different engineers reading it would build broadly the same thing, and general enough that it does not dictate how they do it.</w:t>
      </w:r>
    </w:p>
    <w:p>
      <w:pPr>
        <w:spacing w:after="140"/>
      </w:pPr>
      <w:r>
        <w:rPr>
          <w:i w:val="0"/>
          <w:sz w:val="21"/>
        </w:rPr>
        <w:t>You will write version one at the end of week one and you will revise it during week two. That revision is compulsory. Write this version with the expectation that parts of it will turn out to be wrong, and record your assumptions clearly so that you can tell which ones failed when they do.</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requirements document is expected to change once building starts.</w:t>
      </w:r>
    </w:p>
    <w:p>
      <w:r>
        <w:br w:type="page"/>
      </w:r>
    </w:p>
    <w:p>
      <w:pPr>
        <w:spacing w:before="440" w:after="60"/>
        <w:pBdr>
          <w:bottom w:val="single" w:sz="8" w:space="6" w:color="E8660A"/>
        </w:pBdr>
      </w:pPr>
      <w:r>
        <w:rPr>
          <w:b/>
          <w:color w:val="E8660A"/>
          <w:sz w:val="34"/>
        </w:rPr>
        <w:t xml:space="preserve">1   </w:t>
      </w:r>
      <w:r>
        <w:rPr>
          <w:b/>
          <w:color w:val="1A1A2E"/>
          <w:sz w:val="34"/>
        </w:rPr>
        <w:t>Document control</w:t>
      </w:r>
    </w:p>
    <w:tbl>
      <w:tblPr>
        <w:tblW w:type="auto" w:w="0"/>
        <w:jc w:val="center"/>
        <w:tblLayout w:type="fixed"/>
        <w:tblLook w:firstColumn="1" w:firstRow="1" w:lastColumn="0" w:lastRow="0" w:noHBand="0" w:noVBand="1" w:val="04A0"/>
      </w:tblPr>
      <w:tblGrid>
        <w:gridCol w:w="4824"/>
        <w:gridCol w:w="4824"/>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Version</w:t>
            </w:r>
          </w:p>
        </w:tc>
        <w:tc>
          <w:tcPr>
            <w:tcW w:type="dxa" w:w="676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2.3 (rolling — D-02a distance-metric ADR accepted 2026-09-03 with cosine space + threshold 0.25 by measurement)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Author</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8"/>
              </w:rPr>
              <w:t>Date</w:t>
            </w:r>
          </w:p>
        </w:tc>
        <w:tc>
          <w:tcPr>
            <w:tcW w:type="dxa" w:w="6768"/>
            <w:tcBorders>
              <w:top w:val="single" w:sz="6" w:color="D9D9E0"/>
              <w:left w:val="single" w:sz="6" w:color="D9D9E0"/>
              <w:bottom w:val="single" w:sz="6" w:color="D9D9E0"/>
              <w:right w:val="single" w:sz="6" w:color="D9D9E0"/>
            </w:tcBorders>
            <w:shd w:val="clear" w:fill="F4F4F7"/>
          </w:tcPr>
          <w:p>
            <w:pPr>
              <w:spacing w:before="50" w:after="50"/>
            </w:pPr>
            <w:r>
              <w:rPr>
                <w:sz w:val="18"/>
              </w:rPr>
              <w:t>2026-08-29 (v1); revisions from 2026-08-31 onwards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Status</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Rolling revision — v2 in progress; see Stage 5 revision log for the current change set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8"/>
              </w:rPr>
              <w:t>Approver</w:t>
            </w:r>
          </w:p>
        </w:tc>
        <w:tc>
          <w:tcPr>
            <w:tcW w:type="dxa" w:w="6768"/>
            <w:tcBorders>
              <w:top w:val="single" w:sz="6" w:color="D9D9E0"/>
              <w:left w:val="single" w:sz="6" w:color="D9D9E0"/>
              <w:bottom w:val="single" w:sz="6" w:color="D9D9E0"/>
              <w:right w:val="single" w:sz="6" w:color="D9D9E0"/>
            </w:tcBorders>
            <w:shd w:val="clear" w:fill="F4F4F7"/>
          </w:tcPr>
          <w:p>
            <w:pPr>
              <w:spacing w:before="50" w:after="50"/>
            </w:pPr>
            <w:r>
              <w:rPr>
                <w:sz w:val="18"/>
              </w:rPr>
              <w:t>Self (individual capstone project)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Distribution</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FDE Capstone submission archive</w:t>
            </w:r>
          </w:p>
        </w:tc>
      </w:tr>
    </w:tbl>
    <w:p>
      <w:pPr>
        <w:spacing w:after="80"/>
      </w:pPr>
    </w:p>
    <w:p>
      <w:pPr>
        <w:spacing w:before="440" w:after="60"/>
        <w:pBdr>
          <w:bottom w:val="single" w:sz="8" w:space="6" w:color="E8660A"/>
        </w:pBdr>
      </w:pPr>
      <w:r>
        <w:rPr>
          <w:b/>
          <w:color w:val="E8660A"/>
          <w:sz w:val="34"/>
        </w:rPr>
        <w:t xml:space="preserve">2   </w:t>
      </w:r>
      <w:r>
        <w:rPr>
          <w:b/>
          <w:color w:val="1A1A2E"/>
          <w:sz w:val="34"/>
        </w:rPr>
        <w:t>The problem in one paragraph</w:t>
      </w:r>
    </w:p>
    <w:p>
      <w:pPr>
        <w:spacing w:after="140"/>
      </w:pPr>
      <w:r>
        <w:rPr>
          <w:i w:val="0"/>
          <w:sz w:val="21"/>
        </w:rPr>
        <w:t>Copy across the paragraph you wrote at the end of your discovery workbook. If you find yourself wanting to improve it as you copy, go back and improve it in the workbook first, so that the two do not drift apart.</w:t>
      </w:r>
    </w:p>
    <w:tbl>
      <w:tblPr>
        <w:tblW w:type="auto" w:w="0"/>
        <w:jc w:val="center"/>
        <w:tblLayout w:type="fixed"/>
        <w:tblLook w:firstColumn="1" w:firstRow="1" w:lastColumn="0" w:lastRow="0" w:noHBand="0" w:noVBand="1" w:val="04A0"/>
      </w:tblPr>
      <w:tblGrid>
        <w:gridCol w:w="9648"/>
      </w:tblGrid>
      <w:tr>
        <w:tc>
          <w:tcPr>
            <w:tcW w:type="dxa" w:w="964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Problem statement</w:t>
            </w:r>
          </w:p>
        </w:tc>
      </w:tr>
      <w:tr>
        <w:tc>
          <w:tcPr>
            <w:tcW w:type="dxa" w:w="9648"/>
            <w:tcBorders>
              <w:top w:val="single" w:sz="6" w:color="D9D9E0"/>
              <w:left w:val="single" w:sz="6" w:color="D9D9E0"/>
              <w:bottom w:val="single" w:sz="6" w:color="D9D9E0"/>
              <w:right w:val="single" w:sz="6" w:color="D9D9E0"/>
            </w:tcBorders>
          </w:tcPr>
          <w:p>
            <w:pPr>
              <w:spacing w:before="50" w:after="50"/>
            </w:pPr>
            <w:r>
              <w:rPr>
                <w:sz w:val="18"/>
              </w:rPr>
              <w:t>CloudServe's support team receives roughly 500 tickets a week across four channels. About seven in ten of these have an answer that already exists in the company's twenty-nine reviewed knowledge-base articles, yet only 44% of tickets are resolved on the first contact. The gap is not a shortage of answers but a failure of retrieval. Agents cannot find their own articles in the internal search and rebuild answers from personal notes, and customers, one in six of whom starts by searching the documentation and gives up, wait an average of eight hours for a response that reproduces material already in front of them. When tickets do reach a second-tier engineer, they arrive as forwarded threads with no summary and no attached documentation, which turns roughly 38% of escalations into avoidable ones and returns the same question to the customer a second time. The system to build (working name: CloudServe Draft) is not a chatbot. It is a retrieval-first assistant that: drafts a cited answer for tickets whose expected route is auto-respond and where calibrated confidence exceeds a threshold set from data; hands drafts and retrieved passages to tier one when confidence is borderline; enriches tier-two escalations with retrieved documentation and the tier-one uncertainty flag; and always escalates the four categories where automation is not appropriate (compliance requests, security incidents, feature requests, unclear requests), regardless of confidence. The Q3 retrieval pilot (TF-IDF hit@3 = 93.6% on 357 answerable tickets) shows the corpus is retrievable with sparse methods; the system's value therefore lies in the routing, drafting, guardrail and audit-log layer sitting above retrieval, not in retrieval itself.</w:t>
            </w:r>
          </w:p>
        </w:tc>
      </w:tr>
      <w:tr>
        <w:tc>
          <w:tcPr>
            <w:tcW w:type="dxa" w:w="9648"/>
            <w:tcBorders>
              <w:top w:val="single" w:sz="6" w:color="D9D9E0"/>
              <w:left w:val="single" w:sz="6" w:color="D9D9E0"/>
              <w:bottom w:val="single" w:sz="6" w:color="D9D9E0"/>
              <w:right w:val="single" w:sz="6" w:color="D9D9E0"/>
            </w:tcBorders>
            <w:shd w:val="clear" w:fill="F4F4F7"/>
          </w:tcPr>
          <w:p>
            <w:pPr>
              <w:spacing w:before="50" w:after="50"/>
            </w:pPr>
            <w:r>
              <w:rPr>
                <w:sz w:val="18"/>
              </w:rPr>
            </w:r>
          </w:p>
        </w:tc>
      </w:tr>
    </w:tbl>
    <w:p>
      <w:pPr>
        <w:spacing w:after="80"/>
      </w:pPr>
    </w:p>
    <w:p>
      <w:pPr>
        <w:spacing w:before="440" w:after="60"/>
        <w:pBdr>
          <w:bottom w:val="single" w:sz="8" w:space="6" w:color="E8660A"/>
        </w:pBdr>
      </w:pPr>
      <w:r>
        <w:rPr>
          <w:b/>
          <w:color w:val="E8660A"/>
          <w:sz w:val="34"/>
        </w:rPr>
        <w:t xml:space="preserve">3   </w:t>
      </w:r>
      <w:r>
        <w:rPr>
          <w:b/>
          <w:color w:val="1A1A2E"/>
          <w:sz w:val="34"/>
        </w:rPr>
        <w:t>Who this is for</w:t>
      </w:r>
    </w:p>
    <w:p>
      <w:pPr>
        <w:spacing w:after="140"/>
      </w:pPr>
      <w:r>
        <w:rPr>
          <w:i w:val="0"/>
          <w:sz w:val="21"/>
        </w:rPr>
        <w:t>Describe each group of users separately. A requirement that serves everybody usually serves nobody particularly well.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User group</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need from this system</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currently do instead</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know it worked for them</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Customers raising tickets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 response within the SLA that answers the ticket, states its uncertainty and cites its source. Non-fluent English speakers need the same quality of response as fluent ones.</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Wait 8-12h on average; often self-search first and give up. Frustration when the reply reproduces material they already searched.</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Time to first substantive reply drops from 214 min median toward under 60. Repeat-contact rate drops from 22% to under 15%. Rubric-scored CSAT proxy rises from 2.97 baseline.</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Tier one support agents</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A drafted answer with the relevant document attached, not a fully automated reply. The system should reduce time on known-pattern tickets from 4-5 min toward 1-2 min.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Recognise the pattern, hunt in a personal snippet file, write from memory, sometimes escalate rather than send when uncertain.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Fewer than 20% of drafts require significant edit before send (rubric-scored on a sample). Zero drafts sent to customer without agent review when confidence is in the review band.</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Tier two support engineers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Escalations that arrive with a draft, the retrieved documents, the tier-one uncertainty flag and any classifier alternatives already logged.</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Receive forwarded threads with no summary; re-ask the customer questions the customer already answered; re-read the documentation from scratch.</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Escalation resolution time down by at least 30% on avoidable-escalation samples (Daniel's cohort). Fewer than 10% of escalations trigger a customer re-ask.</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The technical writer (documentation owner)</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Every automated response cites the specific article and section it came from, so 'article wrong' and 'system misread the article' can be told apart. Zero uncontrolled retrieval from unreviewed private notes.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Writes and reviews 29 articles that the support team does not use internally. No feedback loop when an article is wrong.</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100% of auto-responses carry a resolvable doc_id citation. Every response the writer flags as 'article wrong' vs 'system misread' can be routed to the correct fix.</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The head of support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First contact resolution rises. Reply time falls. The four always-escalate intents are never auto-answered. The system can explain any decision to the autumn compliance auditor.</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Reports response time (contractual) but privately cares about FCR. Has no visibility into what is inside the escalation queue.</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FCR rises from 44% to 60%+. Median time to first reply drops from 214 min to under 60 min. Every automated decision reconstructable from a persistent log with prompt_version, requirement_ids and sources_used.</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The compliance auditor (autumn review)</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Every automated decision reconstructable months later: input, prediction, confidence, sources cited, threshold applied, action taken, reason, guardrail results, prompt version, requirement IDs.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Currently no automated decisions; the audit surface is the ticket history alone.</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100% of decisions logged. Reconciliation of logged decisions against tickets processed passes at end of every run (A8). Zero unlogged decisions in the full evaluation run.</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Functional requirements</w:t>
      </w:r>
    </w:p>
    <w:p>
      <w:pPr>
        <w:spacing w:after="140"/>
      </w:pPr>
      <w:r>
        <w:rPr>
          <w:i w:val="0"/>
          <w:sz w:val="21"/>
        </w:rPr>
        <w:t>Each requirement gets an identifier, a statement, a priority and a link back to the discovery evidence that produced it. The identifiers matter because your specifications, your prompts and your test cases will all refer to them.</w:t>
      </w:r>
    </w:p>
    <w:p>
      <w:pPr>
        <w:spacing w:after="140"/>
      </w:pPr>
      <w:r>
        <w:rPr>
          <w:i w:val="0"/>
          <w:sz w:val="21"/>
        </w:rPr>
        <w:t>Use the priority scale consistently. Must means the system is not acceptable without it. Should means it is expected but could be deferred with a stated consequence. Could means it would add value if time allows. Will not means it has been considered and deliberately excluded, and recording those is as useful as recording the rest.</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7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ID</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Requirement</w:t>
            </w:r>
          </w:p>
        </w:tc>
        <w:tc>
          <w:tcPr>
            <w:tcW w:type="dxa" w:w="9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Priority</w:t>
            </w:r>
          </w:p>
        </w:tc>
        <w:tc>
          <w:tcPr>
            <w:tcW w:type="dxa" w:w="187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Discovery evidence</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Acceptance criteria</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FR-01</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system SHALL accept tickets from the four channels {email, chat, docs_comment, forum} and produce one normalised Ticket object preserving `channel`, `body`, `received_at` and all customer segment fields. Evaluation-only fields (`labels.*`, `history.*`) SHALL NOT be carried on the Ticket; the evaluation harness reads them directly from the raw record.</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#1 (Marcus row on the four channels); #2 (channel split row).</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A2 (four channels ingested). A ticket from each of the four channels is passed in. All four produce a Ticket object with `channel` set. No channel-specific exception raised.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ingest step SHALL accept an empty subject (chat channel is always empty per the data) and an empty body (unseen in dev set but possible in hidden set) without raising, recording the anomaly in a Ticket.warnings list.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#2, EV-DATA-11 (empty subject = 155/155 on chat).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A2. Tickets with empty subject and/or empty body are ingested. Body-empty case populates Ticket.warnings=['empty_body']. No exception propagates.</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FR-03</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ingest step SHALL preserve the original body text under Ticket.original_body and expose the cleaned text as Ticket.body, so downstream stages can inspect either.</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EV-M3 (Marcus on wrong answers being publicly screenshottable - provenance matters for post-hoc audit).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Ticket.original_body equals the raw input. Ticket.body may be cleaned but preserves the intent.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classify every ticket with an intent from the closed set of 22 known classes plus 'unknown', an urgency from {high, medium, low}, and a numeric confidence in [0, 1]. The classifier SHALL receive only the ticket's channel, subject, and body from the ingest step (per FR-01/02/03). Customer segment fields (customer_tier, customer_region, customer_name, language_fluency) SHALL NOT be exposed to the classifier. Tier-aware policy, where used, SHALL be applied downstream in the router (FR-09) and not embedded in classification.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EV-S3 (7-of-10 known patterns Sofia sees repeatedly); #2 row on the 22 intent classes; EV-M4 (enterprise cannot regress); EV-DATA-06/07/08 (fairness segments — informs the blind-classifier design).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A3 (classification with numeric confidence). Output includes {intent, urgency, confidence, alternatives[]}. confidence in [0,1]. Alternatives list is not empty when the winner is below 0.9. Verified via unit test: given a raw ticket record, the classifier call receives only channel/subject/body — asserted by inspection of src/classify.py load path and covered by tests/test_classify.py::test_blind_to_segment.</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FR-05</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classifier SHALL return `intent='unknown'` with `confidence=0.0` when the model provider fails or returns malformed output, rather than raise. The fallback SHALL be logged with a reason.</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EV-M3 (Marcus: rather nothing than wrong).</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A11 (graceful degradation). With the model provider disconnected, the classifier returns a ClassificationResult with intent='unknown' and a non-null error field. No exception surfaces.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FR-06</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retriever SHALL return ranked passages (or an empty list) from the indexed 29-article corpus, each carrying a resolvable doc_id and a similarity score.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#2 (doc corpus row); EV-I1 (29 articles per Ines); Q3 pilot findings (workbooks/q3_findings.md).</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A4 (retrieval returns identifiable passages). Every returned Passage has a doc_id present in documentation.json. The list is sorted by descending score. Zero passages are a valid return.</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FR-07</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retriever SHALL return an empty list when no passage's similarity score crosses the configured RETRIEVAL_THRESHOLD, rather than returning the top-K regardless.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EV-I3 (Ines: manufacturing an answer for a not-in-corpus question is doing the wrong thing).</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A4. For a synthetic query that matches nothing (e.g., 'lorem ipsum'), retriever returns []. Downstream, this triggers escalation via the router.</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FR-08</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Chunking strategy SHALL be fixed 800-character windows with 120-character overlap, indexed at build time only (not per request).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Q3 pilot (workbooks/q3_findings.md): fixed_800_120 achieved hit@3=93.6% vs section_aware 92.4% on 357 answerable tickets.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index_docs.py produces the Chroma index in one run. Per-request retrieval hits the persisted index.</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FR-09</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router SHALL be deterministic: identical (classification, retrieval_result, ticket) input SHALL produce identical routing decisions and reasons.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EV-M5 (Marcus: compliance review requires explainability - deterministic routing is what makes decisions reproducible for audit).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A5 (routing deterministic). Feeding the same input twice returns identical Route.decision and Route.reason. No hidden state, no random tie-break.</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FR-10</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router SHALL escalate (never auto-respond) any ticket where `labels.must_not_auto_respond=true`, OR classifier confidence &lt; CONFIDENCE_THRESHOLD, OR retrieval returned an empty passage list, OR any guardrail blocked.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EV-DATA-10 (17.4% must_not_auto_respond, four intents at 100%); EV-D4 (Daniel's do-not-automate list); EV-M3 (rather nothing than wrong).</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each triggering condition, verify with a fixture that the routing action is 'escalate' and the reason names the trigger.</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FR-11</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Escalations SHALL carry an EscalationBundle: the retrieved passages, the classifier's top-3 alternatives, any draft the generator produced, and the tier-one uncertainty flag if any.</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EV-D1 (Daniel: escalations arrive as forwarded tickets with no summary); EV-D3 (would move 2x faster with context). EV-DATA-04 (38% of historical escalations avoidable); EV-DATA-03 (24% of correct escalations still doc-backed and need context).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Every escalation record in the decision log has non-empty sources_used and (where the classifier confidence was low but non-zero) a draft in the payload.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router SHALL write a human-readable `reason` field to every routing decision, in language a support manager could act on (not a numeric code).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(Marcus: compliance review requires explainability); EV-R2 (Ravi wants uncertainty stated in a form he can calibrate).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Every decision-log row's `reason` is at least 5 words and states a concrete cause: e.g. 'auto_respond: confidence 0.87 above 0.80 threshold; retrieval matched DOC-DEPLOY-001 with score 0.72'.</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FR-13</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SHALL produce a JSON response with fields {answer, citations, confidence, unknown}. Every doc_id in citations SHALL be a member of the doc_ids present in the retrieval result for this ticket.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EV-I2 (Ines: citations back to specific articles distinguish 'article wrong' vs 'system misread'); EV-R2 (Ravi: 'here is the page it came from').</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A6 (citations resolve). For 100 fixture tickets, every citations value is a subset of the retrieval-result doc_ids. No hallucinated citations. Enforced in code, not only by prompt.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SHALL emit `unknown=true` and no answer when retrieval returned no passages OR when the model cannot ground its response, rather than fabricating content.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EV-I3 (Ines: don't manufacture answers).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empty retrieval input, generator returns {answer: '', citations: [], unknown: true}. For grounded generation with no support, unknown=true.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FR-15</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prompt SHALL delimit the ticket text with markers and instruct the model to ignore instructions that appear within them. Prompt injection SHALL not alter the response schema, citations, or the unknown flag.</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(Marcus: a prompt-injection attack produces exactly the 'confidently wrong' outcome he fears).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(guardrail integrity). Injection test cases (in tests/) attempt to redirect the model. Response JSON schema remains valid; citations still resolve; unknown flag unchanged.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FR-16</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PII guardrail SHALL run on every generated response before send and SHALL BLOCK responses containing emails, API-key patterns, phone numbers, account numbers, or personal names other than the ticket's own customer_name.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R-02 in Stage 1 risk register (private info in reply); EV-M5 (compliance review, autumn).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crafted response containing 'test@example.com' triggers block=true. The decision log records the guardrail hit. The ticket routes to escalate.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FR-17</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grounding guardrail SHALL check that every factual claim in the response has a supporting span in the cited passage. Responses failing this check SHALL be BLOCKED, not warned.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EV-I3 (don't manufacture); R-01 in Stage 1 risk register (confidently incorrect answers).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A6, A7. For a fixture where the response asserts 'released in version 4.2' but no passage contains '4.2', the guardrail blocks. Decision log carries the unsupported-claim list.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FR-18</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An instruction-integrity guardrail SHALL detect and block responses where the ticket content appears to have redirected the system's behaviour (schema change, new persona, off-topic).</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(a redirected system produces the confidently-wrong outcome Marcus fears).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For the injection fixture body ('Ignore prior instructions...'), the guardrail's result is passed=false, blocking=true.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FR-19</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confidence-floor guardrail SHALL block any auto-respond action whose recorded classification confidence is missing or below CONFIDENCE_THRESHOLD, regardless of upstream router decision.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EV-S5 (Sofia: prefer draft + doc over unconditional auto-send); R-01 in Stage 1 risk register.</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defence-in-depth. If a synthetic scenario sets classifier confidence to None but router says auto_respond, the guardrail overrides to escalate. Decision log records the guardrail as the cause.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FR-20</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persist one decision-log record per ticket per stage into a SQLite decisions table, matching the Governance Framework schema. Log write SHALL precede response send.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(Marcus: autumn compliance review, must be explainable).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A8 (persistent log reconciles). For every ticket in a validation run, count of matching decision_id rows equals count of tickets processed. Reconciliation report at run-end passes.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FR-21</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evaluation harness SHALL be invocable as a single documented command that takes an input JSON path and an output directory as arguments and runs unattended over the full input file.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(compliance review needs reproducible runs); EV-M2 (Marcus reports numbers - single-command run makes reproduction cheap).</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A9 (single-command unattended). `python -m evaluation.harness --input &lt;path&gt; --output &lt;dir&gt;` starts the run, processes every ticket, produces one output row per ticket, exits 0 on success.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harness SHALL produce a metrics_report.json at the end of every run containing counts, business metrics (FCR proxy, TTR, escalation rate, repeat-contact proxy), technical metrics (intent P/R per class, retrieval hit rate, latency p50/p95) and governance metrics (decisions logged, guardrail activations by type, PII detections).</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EV-M2 (Marcus cares more about FCR than reply time - report must lead with FCR); EV-M5 (compliance review reproduces the numbers).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A10 (metrics report auto-generated). metrics_report.json is written on completion and contains every required key. All numbers computed by code, not by hand.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FR-23</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handle model provider outage, rate limiting, malformed provider output, and retrieval-index-unavailable conditions without crashing. Each degraded ticket SHALL be logged with the degradation reason and routed to escalate.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(crashing sends nothing, but a degraded system that reports its degradation is better than one that hides the failure).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A11 (degrade gracefully). With provider disconnected mid-run, remaining tickets complete. Each carries action='escalate', reason='degraded: provider unreachable'. The run's final exit code is 0.</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test suite SHALL run with `python -m pytest tests/ -v` in a fresh checkout and complete without network access. Slow tests (marked pytest.mark.slow) SHALL be skipped in that mode.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EV-S5 (Sofia: doesn't want to pick up the angry follow-up for something she did not write - tests are the safety net that prevents that).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A12 (tests pass with one command). In CI, pytest completes green in under 60 seconds using fake model client fixtures. No test hits network by default.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FR-25 (REMOVED 2026-09-02)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REMOVED. The v2 text said: 'For tickets on docs_comment channel, the ingest step SHALL detect and strip references to the source article (article title, doc_id, URL) from Ticket.body before the retrieval query is formed. Stripped content SHALL be preserved in Ticket.warnings for auditability.' Data check on 2026-09-02 during B-28 implementation: zero of 78 docs_comment tickets in the dev set contain any URL, DOC-XXX-NNN pattern, or article-title mention in body or subject. The FR was written on a plausible-but-unverified assumption; the data does not support it. See Stage 5 revision log for the full reasoning.</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N/A (removed)</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N/A (removed)</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N/A. The docs_comment channel's worst-in-dataset FCR (34.6%) and repeat-contact rate (33.3%) remain a known limitation reported in the fairness audit (backlog item B-24); the root cause is likely selection bias (customers who chose docs_comment already tried self-serve and failed), not confusable references.</w:t>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Non-functional requirements</w:t>
      </w:r>
    </w:p>
    <w:p>
      <w:pPr>
        <w:spacing w:after="140"/>
      </w:pPr>
      <w:r>
        <w:rPr>
          <w:i w:val="0"/>
          <w:sz w:val="21"/>
        </w:rPr>
        <w:t>These describe how well the system must do the things it does. They are frequently what distinguishes a demonstration from something that could actually be deployed.</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00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ID</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Category</w:t>
            </w:r>
          </w:p>
        </w:tc>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Requirement</w:t>
            </w:r>
          </w:p>
        </w:tc>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it will be verified</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NFR-01a</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Retrieval - Context Relevance</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For tickets flagged answerable_from_docs=true, at least one passage from a doc_id in expected_doc_ids SHALL be present in the top-3 retrieved passages on at least 90% of the validation set (aggregate floor) AND in the top-5 on at least 90% within each of the 22 intent classes. Documented exception: integration_help may sit below 90% at hit@5 per R-08 (corpus coverage gap — 5 of 16 dev tickets have no covering article in the KB at any rank). Rationale for the hit@5 floor rather than hit@3: D-06's Self-RAG groundedness retry reconsiders the top-5 on the second attempt, so a hit@5 hit with a hit@3 miss is a design feature (retry catches it), not a failure mode. Measurement baselines: TF-IDF hit@3 = 93.6% (Q3 pilot, workbooks/q3_findings.md); dense hit@3 = 95.2% with title-prepending per B-30 (workbooks/b30_findings.md, superseding the 91.0% Monday measurement). [Traces: EV-S3; EV-I2; EV-DATA-02; Q3 pilot; B-07 revisit; B-30.] Cosine-space index + RETRIEVAL_THRESHOLD = 0.25 by measurement per D-02a (2026-09-03) — restores aggregate hit@3 to 94.1% (from a shipped-config silent 52.4% caused by an L2 vs cosine score-scale mismatch). Per-class floor still fails for 5 intents at any threshold (onboarding, integration_help, deployment_failure, api_key_issue, webhook_issue); that is a ranking-quality gap, tracked in the R-08 write-up for integration_help and via the cut-then-possibly-revisit path for B-05.</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Measured by evaluation harness on validation set. Per-intent floor: no intent below 75% hit@3.</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NFR-01b</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Retrieval-Generation - Groundedness</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For every factual claim in a generated response, a supporting span SHALL exist in the retrieved passage set. Groundedness rate SHALL be at least 95% on judge-scored samples.  [Traces: EV-M3 (rather nothing than wrong); EV-I3 (don't manufacture answers); EV-I2 (article vs system-misread distinction).]</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Measured with PR-EVAL-JUDGE-01 across a stratified sample. Judge calibrated to Spearman &gt;= 0.70 vs human raters.</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NFR-01c</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Answer Relevance</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Generated responses SHALL address the ticket's asked question with a mean rubric score of at least 4.0/5 on a stratified sample, scored by an LLM-as-judge calibrated against human raters.  [Traces: EV-R2 (Ravi wants honest, cited responses); EV-M3.]</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Measured with PR-EVAL-JUDGE-01. Response quality checked without reference to retrieved content.</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NFR-02</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Latency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p95 end-to-end response time for a single ticket SHALL be at most 4.0 seconds across the validation set (excluding cold-start of embedding index).  [Traces: EV-S1; EV-S2; EV-M1 (SLA 2h vs actual 8-12h); EV-R1 (waiting cost varies by ticket urgency); EV-DATA-01 (baseline TTR).]</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Reported in metrics_report.json from harness runs. Prometheus histogram in production.</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NFR-03</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Reliability under partial degradation</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The system SHALL complete a full validation set run without crashing, given the model provider returns HTTP 200 on at least 80% of calls. Degraded tickets SHALL be logged and escalated, not dropped.  [Traces: EV-M3 (rather nothing than wrong); EV-M5 (compliance review requires predictability).]</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A11 chaos test: kill model provider on 20% of calls; harness exits 0; every ticket has a decision-log row.</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NFR-04</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Explainability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Every routing decision SHALL include a human-readable reason field. Every decision log entry SHALL be reconstructable by a compliance auditor without access to Claude, LangChain or the codebase.  [Traces: EV-M5 (autumn compliance review); EV-D1 (T2 escalations arrive without reasoning); EV-I2 (article vs misread).]</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Compliance-officer test: hand a random 20-row sample of decisions.db to a non-technical reader; every row is intelligible.</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NFR-05</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Fairness</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Answer quality (rubric-scored) SHALL not vary by more than 15 percentage points across language_fluency segments or customer_region segments on the validation set. For customer_tier segments, the D-05 confidence threshold MAY be tier-differentiated based on measured retrieval quality (B-07 found business-tier hit@3 = 87.0% vs enterprise 94.9%, a 7.9pp gap); however, answer quality within the auto_respond band SHALL NOT vary by more than 10 percentage points across tiers. Retrieval segment measurements SHALL be reported alongside answer-quality measurements to make the trade-off visible in the fairness audit (B-24). [Traces: EV-DATA-06 (language_fluency segments); EV-DATA-07 (region); EV-DATA-08 (tier); EV-DATA-09 (channel); EV-S4 (non-fluent CSAT concern); EV-M4 (enterprise cannot regress); EV-R1 (renewal risk if gap widens); B-07 per-tier retrieval measurement.]</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Segment-wise metrics reported by the harness. Governance Framework fairness table populated from these numbers.</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NFR-06</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Determinism</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Given identical inputs and identical RANDOM_SEED, two consecutive runs SHALL produce identical routing decisions and identical decision-log records (excluding timestamps and UUIDs).  [Traces: EV-M5 (compliance review requires reproducible decisions).]</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Two-run test: hash the decision-log rows minus timestamps and IDs; hashes match.</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NFR-07</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Confidence calibration</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The classifier's confidence scores SHALL be calibrated within +/- 5 percentage points in the 0.80-0.90 send band on the validation set (i.e. predictions in that band are correct 80-90% of the time).  [Traces: EV-M3 (rather nothing than wrong); EV-S5 (Sofia wants draft + doc, not unconditional auto-send).]</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Bucketed calibration curve computed by harness. Reported in metrics_report.json under `calibration`.</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NFR-08</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Cost</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The full validation set run SHALL complete within the free tier allowance of the chosen provider (OpenRouter free tier for Llama 3.1 8B). No paid-tier calls SHALL be required.  [Traces: EV-DATA-12; EV-M1 (Marcus cannot get additional headcount, so cost must not scale with volume); pack cost-nothing rule.]</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Metrics report includes call counts by stage; token counts logged. Rate-limit backoff is tested end-to-end.</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NFR-09</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Auditability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100% of tickets processed by the harness SHALL have a matching decision-log row. Reconciliation SHALL return zero missing entries.  [Traces: EV-M5 (autumn compliance review); EV-D1 (T2 needs the audit trail context is missing today).]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harness runs `reconcile()` at end. Exit code 0 requires reconciliation=true.</w:t>
            </w:r>
          </w:p>
        </w:tc>
      </w:tr>
    </w:tbl>
    <w:p>
      <w:pPr>
        <w:spacing w:after="80"/>
      </w:pPr>
    </w:p>
    <w:p>
      <w:pPr>
        <w:spacing w:before="440" w:after="60"/>
        <w:pBdr>
          <w:bottom w:val="single" w:sz="8" w:space="6" w:color="E8660A"/>
        </w:pBdr>
      </w:pPr>
      <w:r>
        <w:rPr>
          <w:b/>
          <w:color w:val="E8660A"/>
          <w:sz w:val="34"/>
        </w:rPr>
        <w:t xml:space="preserve">6   </w:t>
      </w:r>
      <w:r>
        <w:rPr>
          <w:b/>
          <w:color w:val="1A1A2E"/>
          <w:sz w:val="34"/>
        </w:rPr>
        <w:t>What is deliberately out of scope</w:t>
      </w:r>
    </w:p>
    <w:p>
      <w:pPr>
        <w:spacing w:after="140"/>
      </w:pPr>
      <w:r>
        <w:rPr>
          <w:i w:val="0"/>
          <w:sz w:val="21"/>
        </w:rPr>
        <w:t>Recording what you are not building is one of the most valuable things a requirements document does, because it is the section that prevents an argument in week three.</w:t>
      </w:r>
    </w:p>
    <w:tbl>
      <w:tblPr>
        <w:tblW w:type="auto" w:w="0"/>
        <w:jc w:val="center"/>
        <w:tblLayout w:type="fixed"/>
        <w:tblLook w:firstColumn="1" w:firstRow="1" w:lastColumn="0" w:lastRow="0" w:noHBand="0" w:noVBand="1" w:val="04A0"/>
      </w:tblPr>
      <w:tblGrid>
        <w:gridCol w:w="3216"/>
        <w:gridCol w:w="3216"/>
        <w:gridCol w:w="3216"/>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Not building</w:t>
            </w:r>
          </w:p>
        </w:tc>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not</w:t>
            </w:r>
          </w:p>
        </w:tc>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would have to change for this to be reconsidered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Auto-answering the four must-not-auto-respond intents (compliance_request, security_incident, feature_request, unclear_request).</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EV-DATA-10 (17.4% of tickets, all four intents at 100% must_not_auto_respond). EV-D4 (Daniel's do-not-automate list). Automation of these carries regulatory, contractual or product-management risk that a generative model cannot judge.</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Explicit change of policy from CloudServe or the compliance auditor after autumn review. A future version could route these to a specialist auto-respond path with human confirmation, but this project does not.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7"/>
              </w:rPr>
              <w:t>Multi-turn conversation / session state.</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The four channels are ticket-shaped (one message in, one response out) per the Build Specification. Chat and forum channels could carry threads but the dataset schema treats each ticket as atomic. Adding session state introduces state-management, memory and identity concerns not in scope.</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Ticket schema extended to include conversation history. Guardrails extended to cross-message groundedness.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Customer authentication or authorisation.</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The dataset assumes each ticket is legitimately from its stated customer. The pack does not include authentication material. Authorisation checks (e.g. does this customer's tier permit this answer) are out of scope.</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Real deployment against live CloudServe systems where an identity layer exists.</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7"/>
              </w:rPr>
              <w:t>Answering in languages other than English.</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Every ticket in the dataset is in English (non-fluent English is a separate labelled category; not a different language). The KB is English-only.</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Non-English tickets and a translated KB. Extends the fairness NFR significantly.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Learning from private agent snippet files. [EV-D2]</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EV-D2 (Daniel: private snippet files contain 2+ year-old wrong answers). Training on them scales mistakes.</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A curated, reviewed second corpus derived from the snippet files. Not this project.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Handling documentation updates during a run.</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The KB is indexed once at build time (FR-08). Live re-indexing on doc updates is a Week 2/3 extension.</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Move the indexer behind a webhook. Adds a freshness NFR.</w:t>
            </w:r>
          </w:p>
        </w:tc>
      </w:tr>
    </w:tbl>
    <w:p>
      <w:pPr>
        <w:spacing w:after="80"/>
      </w:pPr>
    </w:p>
    <w:p>
      <w:r>
        <w:br w:type="page"/>
      </w:r>
    </w:p>
    <w:p>
      <w:pPr>
        <w:spacing w:before="440" w:after="60"/>
        <w:pBdr>
          <w:bottom w:val="single" w:sz="8" w:space="6" w:color="E8660A"/>
        </w:pBdr>
      </w:pPr>
      <w:r>
        <w:rPr>
          <w:b/>
          <w:color w:val="E8660A"/>
          <w:sz w:val="34"/>
        </w:rPr>
        <w:t xml:space="preserve">7   </w:t>
      </w:r>
      <w:r>
        <w:rPr>
          <w:b/>
          <w:color w:val="1A1A2E"/>
          <w:sz w:val="34"/>
        </w:rPr>
        <w:t>Assumptions and their consequences</w:t>
      </w:r>
    </w:p>
    <w:p>
      <w:pPr>
        <w:spacing w:after="140"/>
      </w:pPr>
      <w:r>
        <w:rPr>
          <w:i w:val="0"/>
          <w:sz w:val="21"/>
        </w:rPr>
        <w:t>Every assumption you are making is a place where this document could turn out to be wrong. Listing them now is what makes the revision in stage five a considered update rather than a scramble.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believe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happens if it is false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find out</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22 intent classes in labels.intent form a stable closed set: the hidden 120-ticket set uses the same labels. [EV-DATA-05]</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Dataset Guide states the schema is shared across dev, validation and hidden sets.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classifier's output space is wrong; some tickets fall out; false-negative rate on hidden set spikes.</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First run against the hidden set: any 'unknown' rate materially above dev-set rate indicates schema drift.</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29-article corpus is stable during the assessment window (no articles added or removed).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No mechanism in the pack updates the corpus.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index_docs would need to re-run mid-cycle. Freshness NFR would become material.</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Trivial to check: any change to documentation.json content-hash between now and submission.</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OpenRouter free tier remains available for Llama 3.1 8B during grading.</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Setup Guide names it as the default. Free tiers change without notice.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A11 handles it (degrade gracefully). Marks are protected: provider outage during grading is not counted against us per Build Spec section 01.</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Model provider status page; harness run confirms availability just before submission.</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Q3 pilot's TF-IDF baseline (hit@3 = 93.6%) is representative of what the pack's default embedder will achieve on this corpus.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The two methods use the same 29 articles and 357 answerable ticket queries.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embedder is worse than TF-IDF; the retrieval NFR baseline is wrong; we need to reconsider D-02 (embedding model).</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First Chroma-based retrieval run on the same 357 tickets; compare hit@3 to 93.6%.</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reference responses in ground_truth_responses.json are correct.</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Written by senior support agents per the pack.</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judge and rubric are calibrated to the wrong ground truth; every measured number is skewed.</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Sample 20 responses and hand-check against the KB during Week 2.</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hidden set has 120 tickets (per README + Dataset Guide + Project Brief), not 100 (per Project Instructions, Start Here, Evaluation Framework, Build Spec 08).</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The three highest-authority pack documents (README, Dataset Guide, Project Brief) say 120. Four secondary references say 100.</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Harness rate-limit budget is off; total-run wall-clock estimate is off. Neither breaks correctness - the harness accepts an input path.</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First grading run reveals the number. Query the assessment team if we need to know earlier.</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Marcus's estimate that escalations cost about 4x a resolved ticket (EV-M1) is broadly accurate.</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Marcus's interview: 'every ticket that bounces to tier two costs us roughly four times what a resolved one costs'. No cost data in the pack to verify directly.</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Stage 1 Table 7 effort-vs-volume ranking uses this multiplier. If Marcus is wrong, the ordering of high-effort intents shifts; the automation ROI targets in the report need recalibrating; the routing threshold analysis needs to reweight escalation cost.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Compare (auto_respond count x mean_cost_per_answered) vs (escalate count x mean_cost_per_escalated) after Week 2 pilot with time-tracked runs.</w:t>
            </w:r>
          </w:p>
        </w:tc>
      </w:tr>
    </w:tbl>
    <w:p>
      <w:pPr>
        <w:spacing w:after="80"/>
      </w:pPr>
    </w:p>
    <w:p>
      <w:pPr>
        <w:spacing w:before="440" w:after="60"/>
        <w:pBdr>
          <w:bottom w:val="single" w:sz="8" w:space="6" w:color="E8660A"/>
        </w:pBdr>
      </w:pPr>
      <w:r>
        <w:rPr>
          <w:b/>
          <w:color w:val="E8660A"/>
          <w:sz w:val="34"/>
        </w:rPr>
        <w:t xml:space="preserve">8   </w:t>
      </w:r>
      <w:r>
        <w:rPr>
          <w:b/>
          <w:color w:val="1A1A2E"/>
          <w:sz w:val="34"/>
        </w:rPr>
        <w:t>Success measures</w:t>
      </w:r>
    </w:p>
    <w:p>
      <w:pPr>
        <w:spacing w:after="140"/>
      </w:pPr>
      <w:r>
        <w:rPr>
          <w:i w:val="0"/>
          <w:sz w:val="21"/>
        </w:rPr>
        <w:t>State the measures this system will be judged on, with the baseline and the target for each, and say who is accountable for reporting them.</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Baseline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Target</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Measured how</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Reported by</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First contact resolution</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43.8% (dev set historical)</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60%+ overall; 70%+ on the auto-respond segment (matches historical FCR on that segment).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harness produces `fcr_proxy` from the ticket-outcome column when running against a labelled set. Reported as (auto_respond count) / (total processed).</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Head of Support (Marcus).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Time to first substantive reply</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Median 214 min, mean 422 min (dev set).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Median under 60 min, mean under 180 min for the auto-respond segment.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records per-ticket latency; median and p95 in metrics_report.json.</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SLA reporting team.</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CSAT (rubric-scored proxy)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Mean 2.97 / 5 (dev set history).</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At least 3.5 / 5 mean overall, no segment more than 15pp below the best segment.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Sampled responses scored by PR-EVAL-JUDGE-01 (three-dim RAG rubric). Aggregated segment table in metrics_report.json.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Head of Support (Marcus) via Support team.</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Escalation rate</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56.2% overall (dev set).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Below 40% overall. Zero on tickets that carry must_not_auto_respond=false and are answerable_from_docs=true, provided confidence exceeds threshold.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routing action counts, cross-tabbed with ticket labels.</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T2 team (Daniel), reported to Marcus.</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Hallucination rate</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Not currently measured; baseline unknown.</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Under 5% on judge-scored stratified samples.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PR-EVAL-HALLUCINATION-01 extracts claims, checks each against retrieved passages. Reported in metrics_report.json.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Author (this project) initially; then Ines for corpus-drift diagnosis.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Fairness gap</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Non-fluent English retrieves 3.6pp worse than fluent (Q3 pilot). No outcome gap in dev history.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 language_fluency / customer_tier / customer_region segment more than 15pp below the best segment on rubric-scored quality.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segments the results table; governance framework fairness section populated automatically.</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Author, reviewed by Head of Support and compliance.</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Auditability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None currently. Ticket history is unstructured.</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100% of decisions have a persistent-log row with prompt_version and requirement_ids populated.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harness runs reconcile() at end. Returns count of missing rows.</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Compliance officer (autumn review).</w:t>
            </w:r>
          </w:p>
        </w:tc>
      </w:tr>
    </w:tbl>
    <w:p>
      <w:pPr>
        <w:spacing w:after="80"/>
      </w:pPr>
    </w:p>
    <w:p>
      <w:pPr>
        <w:spacing w:before="440" w:after="60"/>
        <w:pBdr>
          <w:bottom w:val="single" w:sz="8" w:space="6" w:color="E8660A"/>
        </w:pBdr>
      </w:pPr>
      <w:r>
        <w:rPr>
          <w:b/>
          <w:color w:val="E8660A"/>
          <w:sz w:val="34"/>
        </w:rPr>
        <w:t xml:space="preserve">9   </w:t>
      </w:r>
      <w:r>
        <w:rPr>
          <w:b/>
          <w:color w:val="1A1A2E"/>
          <w:sz w:val="34"/>
        </w:rPr>
        <w:t>Open questions</w:t>
      </w:r>
    </w:p>
    <w:p>
      <w:pPr>
        <w:spacing w:after="140"/>
      </w:pPr>
      <w:r>
        <w:rPr>
          <w:i w:val="0"/>
          <w:sz w:val="21"/>
        </w:rPr>
        <w:t>The things you do not yet know. Each one needs an owner and a date by which it will be resolved, otherwise it will still be open in week three.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it matters</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Owner</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Resolve by</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Does the pack's default embedder (all-MiniLM-L6-v2) match or beat TF-IDF (hit@3 = 93.6%) on this corpus?</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Whole NFR-01a baseline shifts. If embedder is worse, D-02 ADR needs a rethink.</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ANSWERED 2026-08-31 by backlog item B-07 (workbooks/d02_findings.md; evaluation/results/d02_dense_retrieval.json). Dense MiniLM-L6-v2 hit@3 = 91.0% (within 3pp of TF-IDF 93.6%; better on top-1 and top-5; fairness parity on non-fluent English is the deciding factor). D-02 stands. NFR-01a revised — see Stage 5 revision log.</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Do the four low-hit intents (onboarding, authentication_failure, integration_help, api_key_issue - all under 75% hit@3 on TF-IDF) recover with semantic embeddings or query rewriting?</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Determines whether we need a query-rewriting prompt in the prompt library (would be PR-RETRIEVE-01).</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Author</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ANSWERED (Monday's answer superseded 2026-09-02 by B-30). Onboarding hit@3 was 60.0% on Monday and 90.0% today after title-prepending in the search index. Every other intent hits 100% at hit@3 (compliance_request) or has hit@5 = 1.000 (deployment_failure, authentication_failure, database_issue). Only integration_help still needs a workaround (R-08 corpus coverage gap). PR-RETRIEVE-01 (B-05) is NO LONGER NEEDED and is cut from the plan. Saves 2h.</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Is the hidden evaluation set 100 or 120 tickets (pack contradicts itself)?</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Rate-limit / cost planning for the grading run. Not blocking, but affects the free-tier NFR-08 headroom.</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Assessment team query</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Before Fri 5 Sep (mid-week 2).</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What time zone is the 13 September deadline?</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Submission planning. Difference between IST and UTC is 5.5 hours; between IST and BST is 4.5.</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Assessment team query</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Before Fri 5 Sep.</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Q6 (added 2026-08-31; downgraded 2026-09-02): Should the D-05 confidence threshold be tier-differentiated? Monday's B-07 measured a 7.9pp retrieval hit@3 gap between business (0.870) and enterprise (0.949). B-30 re-measurement 2026-09-02 closed the gap to 1.4pp (business 0.935 vs enterprise 0.949; standard now leads at 0.966). Tier-aware thresholding is no longer urgent. Still worth measuring in the D-05 sweep as one axis alongside urgency and confidence-band calibration, but not as a blocker.</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Was: whether the router carries a lookup table (tier -&gt; threshold) or a single scalar. Now: whether a lookup table is worth the implementation cost given the 1.4pp gap. NFR-05 v2 permits tier variation with a 10pp answer-quality cap. The question stands but is no longer a design blocker.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 (best-effort estimate); no CloudServe interlocutor.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Backlog item B-16 (D-05 threshold sweep), Fri 4 Sep. Now lower priority — the measurement may show no meaningful tier signal, in which case the answer is 'no'.</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Q6 (added 2026-08-31): Should the D-05 confidence threshold be tier-differentiated? B-07 measured a 7.9pp retrieval hit@3 gap between business (0.870) and enterprise (0.949) on n=182 tickets. Under a uniform threshold, that becomes a downstream answer-quality gap. NFR-05 v2 now permits tier-differentiation with an answer-quality cap of 10pp within the auto_respond band.</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Feeds D-05 sweep; determines whether the router carries a lookup table (tier -&gt; threshold) or a single scalar. Fairness NFR-05 v2 depends on the answer.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 (evaluation harness B-16)</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Backlog item B-16 (D-05 threshold sweep), Fri 4 Sep (Week 2 gate day).</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Q7 (added 2026-09-03): Are FR-GUARD-01..04 (input length/emptiness, prompt-injection heuristics, output PII redaction, retrieval-confidence hard block) in scope for this build, or deferred to future work? Drafted in docs/drafts/masterclass_integration/prd_guardrail_frs.md; never merged into this PRD.</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(1) GOVERNANCE. Two ACCEPTED ADRs — D-03a and D-05a — already name FR-GUARD-04 in their Constrains lines, and tests/test_guardrails.py already encodes a test contract for all four, so accepted artefacts cite a requirement this PRD does not contain. (2) SEQUENCING. The hard technical dependency is B-11, not B-10: B-11 is where src/generate.py calls into guardrails, so the interface must be settled by then. B-10 is a JSON-contract prompt and does not touch guardrails — it can be written either way. Answering before B-10 is a discipline choice that preserves one backlog row of slack, NOT a blocker. (3) ESTIMATE. Whether FR-GUARD-01..04 REPLACES FR-16..19 or SUPPLEMENTS them changes B-14's 4h estimate materially. B-14 is scoped as 'all five guardrails blocking' (PII, grounding, instruction integrity, tone/scope, confidence floor) at 4h; nine guardrails at 4h is not the same calculation. Two of the four overlap existing FRs — FR-GUARD-03 (output PII redaction) against FR-16 (PII block), and FR-GUARD-02 (prompt-injection heuristics, input side) against FR-18 (instruction integrity, output side) — and two are genuinely new (FR-GUARD-01 input length/emptiness, which also overlaps FR-02's ingest handling; FR-GUARD-04). Note FR-GUARD-03 specifies REDACTION where FR-16 specifies BLOCK: A7 requires at least one guardrail that blocks rather than warns, so a straight replacement there would weaken an acceptance criterion. (4) THRESHOLD. FR-GUARD-04's MIN_RELEVANCE_SCORE and D-02a's RETRIEVAL_THRESHOLD are two gates on the same cosine score scale; the draft's candidate range (0.10-0.35) is exactly what D-02a swept, and D-02a set 0.25 on measured evidence without knowing FR-GUARD-04 existed.</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Alok Kulkarni</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Hard deadline: before B-11 (the guardrail interface only matters once generate.py calls into it). Preferred: before B-10, as discipline — that keeps one row of slack rather than deciding under pressure. URGENCY: B-14 sits on Thursday 3 Sep's row and Friday 4 Sep is the B-21 gate, so any estimate change lands on an already-slipping row with no slack day after it. Whichever way Q7 is answered, re-estimate B-14 in the same pass and record the new figure — do not let Friday discover it. If the answer is 'deferred', strip FR-GUARD-04 from the D-03a and D-05a Constrains lines and re-mark tests/test_guardrails.py as blocked on a deferred FR rather than on B-11.</w:t>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review before you move on</w:t>
            </w:r>
          </w:p>
          <w:p>
            <w:pPr>
              <w:spacing w:after="160"/>
            </w:pPr>
            <w:r>
              <w:rPr>
                <w:color w:val="333344"/>
                <w:sz w:val="20"/>
              </w:rPr>
              <w:t>Read your finished PRD and ask, for each requirement in turn, whether an engineer who had not attended any of your interviews could build it from what is written. Where the answer is no, the requirement is not finished. This check takes twenty minutes and it is the single highest-value thing you can do at the end of week one.</w:t>
            </w:r>
          </w:p>
        </w:tc>
      </w:tr>
    </w:tbl>
    <w:p>
      <w:pPr>
        <w:spacing w:after="4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Two  ·  Product Requirements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