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Governance Framework</w:t>
      </w:r>
    </w:p>
    <w:p>
      <w:pPr>
        <w:spacing w:after="280"/>
        <w:jc w:val="center"/>
        <w:pBdr>
          <w:bottom w:val="single" w:sz="10" w:space="6" w:color="E8660A"/>
        </w:pBdr>
      </w:pPr>
      <w:r>
        <w:rPr>
          <w:color w:val="E8660A"/>
          <w:sz w:val="26"/>
        </w:rPr>
        <w:t>What must be true before this could speak to a real customer</w:t>
      </w:r>
    </w:p>
    <w:p>
      <w:pPr>
        <w:spacing w:after="400"/>
        <w:jc w:val="center"/>
      </w:pPr>
      <w:r>
        <w:rPr>
          <w:i/>
          <w:color w:val="4A4A63"/>
          <w:sz w:val="21"/>
        </w:rPr>
        <w:t>Risk, fairness, decision logging and incident response. This is the part teams</w:t>
        <w:br/>
        <w:t>leave until the end, which is precisely why it is usually shallow.</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REFERENCE  ·  USE IN WEEK THREE</w:t>
            </w:r>
          </w:p>
        </w:tc>
      </w:tr>
    </w:tbl>
    <w:p>
      <w:r>
        <w:br w:type="page"/>
      </w:r>
    </w:p>
    <w:p>
      <w:pPr>
        <w:spacing w:before="440" w:after="60"/>
        <w:pBdr>
          <w:bottom w:val="single" w:sz="8" w:space="6" w:color="E8660A"/>
        </w:pBdr>
      </w:pPr>
      <w:r>
        <w:rPr>
          <w:b/>
          <w:color w:val="1A1A2E"/>
          <w:sz w:val="34"/>
        </w:rPr>
        <w:t>What governance actually means here</w:t>
      </w:r>
    </w:p>
    <w:p>
      <w:pPr>
        <w:spacing w:after="140"/>
      </w:pPr>
      <w:r>
        <w:rPr>
          <w:i w:val="0"/>
          <w:sz w:val="21"/>
        </w:rPr>
        <w:t>You are building something that will send text to a paying customer without a human reading it first. Governance is the set of arrangements that make that defensible. It is not a document you produce at the end to satisfy a requirement; it is a series of design decisions taken early, which is why this framework asks you to make some of them in week one.</w:t>
      </w:r>
    </w:p>
    <w:p>
      <w:pPr>
        <w:spacing w:after="140"/>
      </w:pPr>
      <w:r>
        <w:rPr>
          <w:i w:val="0"/>
          <w:sz w:val="21"/>
        </w:rPr>
        <w:t>The test of whether your governance is real is simple. Pick a plausible way your system could harm a customer, and ask what in your design would stop it. If the answer describes a property of the model rather than a control you built, you have described a hope.</w:t>
      </w:r>
    </w:p>
    <w:p>
      <w:pPr>
        <w:spacing w:before="200" w:after="60"/>
        <w:jc w:val="center"/>
      </w:pPr>
      <w:r>
        <w:drawing>
          <wp:inline xmlns:a="http://schemas.openxmlformats.org/drawingml/2006/main" xmlns:pic="http://schemas.openxmlformats.org/drawingml/2006/picture">
            <wp:extent cx="4937760" cy="3847739"/>
            <wp:docPr id="1" name="Picture 1"/>
            <wp:cNvGraphicFramePr>
              <a:graphicFrameLocks noChangeAspect="1"/>
            </wp:cNvGraphicFramePr>
            <a:graphic>
              <a:graphicData uri="http://schemas.openxmlformats.org/drawingml/2006/picture">
                <pic:pic>
                  <pic:nvPicPr>
                    <pic:cNvPr id="0" name="risk_matrix.png"/>
                    <pic:cNvPicPr/>
                  </pic:nvPicPr>
                  <pic:blipFill>
                    <a:blip r:embed="rId9"/>
                    <a:stretch>
                      <a:fillRect/>
                    </a:stretch>
                  </pic:blipFill>
                  <pic:spPr>
                    <a:xfrm>
                      <a:off x="0" y="0"/>
                      <a:ext cx="4937760" cy="3847739"/>
                    </a:xfrm>
                    <a:prstGeom prst="rect"/>
                  </pic:spPr>
                </pic:pic>
              </a:graphicData>
            </a:graphic>
          </wp:inline>
        </w:drawing>
      </w:r>
    </w:p>
    <w:p>
      <w:pPr>
        <w:spacing w:after="240"/>
        <w:jc w:val="center"/>
      </w:pPr>
      <w:r>
        <w:rPr>
          <w:i/>
          <w:color w:val="4A4A63"/>
          <w:sz w:val="17"/>
        </w:rPr>
        <w:t>Figure 1. Anything in the darkest band requires a written mitigation before you build it.</w:t>
      </w:r>
    </w:p>
    <w:p>
      <w:r>
        <w:br w:type="page"/>
      </w:r>
    </w:p>
    <w:p>
      <w:pPr>
        <w:spacing w:before="440" w:after="60"/>
        <w:pBdr>
          <w:bottom w:val="single" w:sz="8" w:space="6" w:color="E8660A"/>
        </w:pBdr>
      </w:pPr>
      <w:r>
        <w:rPr>
          <w:b/>
          <w:color w:val="E8660A"/>
          <w:sz w:val="34"/>
        </w:rPr>
        <w:t xml:space="preserve">1   </w:t>
      </w:r>
      <w:r>
        <w:rPr>
          <w:b/>
          <w:color w:val="1A1A2E"/>
          <w:sz w:val="34"/>
        </w:rPr>
        <w:t>Decision logging</w:t>
      </w:r>
    </w:p>
    <w:p>
      <w:pPr>
        <w:spacing w:after="140"/>
      </w:pPr>
      <w:r>
        <w:rPr>
          <w:i w:val="0"/>
          <w:sz w:val="21"/>
        </w:rPr>
        <w:t>Every automated decision must be reconstructable months later by someone who was not there. That means logging not only what was decided but why, with enough context that the decision could be audited or challenged.</w:t>
      </w:r>
    </w:p>
    <w:p>
      <w:pPr>
        <w:spacing w:before="300" w:after="60"/>
      </w:pPr>
      <w:r>
        <w:rPr>
          <w:b/>
          <w:color w:val="1A1A2E"/>
          <w:sz w:val="25"/>
        </w:rPr>
        <w:t>The minimum record</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w:t>
            </w:r>
          </w:p>
          <w:p>
            <w:pPr>
              <w:spacing w:after="0" w:before="20" w:line="240" w:lineRule="auto"/>
            </w:pPr>
            <w:r>
              <w:rPr>
                <w:rFonts w:ascii="Consolas" w:hAnsi="Consolas"/>
                <w:color w:val="1A1A2E"/>
                <w:sz w:val="17"/>
              </w:rPr>
              <w:t xml:space="preserve">  "decision_id": "...",</w:t>
            </w:r>
          </w:p>
          <w:p>
            <w:pPr>
              <w:spacing w:after="0" w:before="20" w:line="240" w:lineRule="auto"/>
            </w:pPr>
            <w:r>
              <w:rPr>
                <w:rFonts w:ascii="Consolas" w:hAnsi="Consolas"/>
                <w:color w:val="1A1A2E"/>
                <w:sz w:val="17"/>
              </w:rPr>
              <w:t xml:space="preserve">  "timestamp": "...",</w:t>
            </w:r>
          </w:p>
          <w:p>
            <w:pPr>
              <w:spacing w:after="0" w:before="20" w:line="240" w:lineRule="auto"/>
            </w:pPr>
            <w:r>
              <w:rPr>
                <w:rFonts w:ascii="Consolas" w:hAnsi="Consolas"/>
                <w:color w:val="1A1A2E"/>
                <w:sz w:val="17"/>
              </w:rPr>
              <w:t xml:space="preserve">  "ticket_id": "...",</w:t>
            </w:r>
          </w:p>
          <w:p>
            <w:pPr>
              <w:spacing w:after="0" w:before="20" w:line="240" w:lineRule="auto"/>
            </w:pPr>
            <w:r>
              <w:rPr>
                <w:rFonts w:ascii="Consolas" w:hAnsi="Consolas"/>
                <w:color w:val="1A1A2E"/>
                <w:sz w:val="17"/>
              </w:rPr>
              <w:t xml:space="preserve">  "stage": "classification | routing | generation | validation",</w:t>
            </w:r>
          </w:p>
          <w:p>
            <w:pPr>
              <w:spacing w:after="0" w:before="20" w:line="240" w:lineRule="auto"/>
            </w:pPr>
            <w:r>
              <w:rPr>
                <w:rFonts w:ascii="Consolas" w:hAnsi="Consolas"/>
                <w:color w:val="1A1A2E"/>
                <w:sz w:val="17"/>
              </w:rPr>
              <w:t xml:space="preserve">  "input_summary": "...",</w:t>
            </w:r>
          </w:p>
          <w:p>
            <w:pPr>
              <w:spacing w:after="0" w:before="20" w:line="240" w:lineRule="auto"/>
            </w:pPr>
            <w:r>
              <w:rPr>
                <w:rFonts w:ascii="Consolas" w:hAnsi="Consolas"/>
                <w:color w:val="1A1A2E"/>
                <w:sz w:val="17"/>
              </w:rPr>
              <w:t xml:space="preserve">  "model": { "name": "...", "version": "..." },</w:t>
            </w:r>
          </w:p>
          <w:p>
            <w:pPr>
              <w:spacing w:after="0" w:before="20" w:line="240" w:lineRule="auto"/>
            </w:pPr>
            <w:r>
              <w:rPr>
                <w:rFonts w:ascii="Consolas" w:hAnsi="Consolas"/>
                <w:color w:val="1A1A2E"/>
                <w:sz w:val="17"/>
              </w:rPr>
              <w:t xml:space="preserve">  "prediction": { "value": "...", "confidence": 0.00 },</w:t>
            </w:r>
          </w:p>
          <w:p>
            <w:pPr>
              <w:spacing w:after="0" w:before="20" w:line="240" w:lineRule="auto"/>
            </w:pPr>
            <w:r>
              <w:rPr>
                <w:rFonts w:ascii="Consolas" w:hAnsi="Consolas"/>
                <w:color w:val="1A1A2E"/>
                <w:sz w:val="17"/>
              </w:rPr>
              <w:t xml:space="preserve">  "alternatives": [ { "value": "...", "confidence": 0.00 } ],</w:t>
            </w:r>
          </w:p>
          <w:p>
            <w:pPr>
              <w:spacing w:after="0" w:before="20" w:line="240" w:lineRule="auto"/>
            </w:pPr>
            <w:r>
              <w:rPr>
                <w:rFonts w:ascii="Consolas" w:hAnsi="Consolas"/>
                <w:color w:val="1A1A2E"/>
                <w:sz w:val="17"/>
              </w:rPr>
              <w:t xml:space="preserve">  "sources_used": [ { "doc_id": "...", "score": 0.00 } ],</w:t>
            </w:r>
          </w:p>
          <w:p>
            <w:pPr>
              <w:spacing w:after="0" w:before="20" w:line="240" w:lineRule="auto"/>
            </w:pPr>
            <w:r>
              <w:rPr>
                <w:rFonts w:ascii="Consolas" w:hAnsi="Consolas"/>
                <w:color w:val="1A1A2E"/>
                <w:sz w:val="17"/>
              </w:rPr>
              <w:t xml:space="preserve">  "threshold_applied": 0.00,</w:t>
            </w:r>
          </w:p>
          <w:p>
            <w:pPr>
              <w:spacing w:after="0" w:before="20" w:line="240" w:lineRule="auto"/>
            </w:pPr>
            <w:r>
              <w:rPr>
                <w:rFonts w:ascii="Consolas" w:hAnsi="Consolas"/>
                <w:color w:val="1A1A2E"/>
                <w:sz w:val="17"/>
              </w:rPr>
              <w:t xml:space="preserve">  "action_taken": "auto_respond | escalate | block",</w:t>
            </w:r>
          </w:p>
          <w:p>
            <w:pPr>
              <w:spacing w:after="0" w:before="20" w:line="240" w:lineRule="auto"/>
            </w:pPr>
            <w:r>
              <w:rPr>
                <w:rFonts w:ascii="Consolas" w:hAnsi="Consolas"/>
                <w:color w:val="1A1A2E"/>
                <w:sz w:val="17"/>
              </w:rPr>
              <w:t xml:space="preserve">  "reason": "human readable explanation of why this action followed",</w:t>
            </w:r>
          </w:p>
          <w:p>
            <w:pPr>
              <w:spacing w:after="0" w:before="20" w:line="240" w:lineRule="auto"/>
            </w:pPr>
            <w:r>
              <w:rPr>
                <w:rFonts w:ascii="Consolas" w:hAnsi="Consolas"/>
                <w:color w:val="1A1A2E"/>
                <w:sz w:val="17"/>
              </w:rPr>
              <w:t xml:space="preserve">  "guardrail_results": { "pii": "pass", "grounding": "pass", "tone": "pass" },</w:t>
            </w:r>
          </w:p>
          <w:p>
            <w:pPr>
              <w:spacing w:after="0" w:before="20" w:line="240" w:lineRule="auto"/>
            </w:pPr>
            <w:r>
              <w:rPr>
                <w:rFonts w:ascii="Consolas" w:hAnsi="Consolas"/>
                <w:color w:val="1A1A2E"/>
                <w:sz w:val="17"/>
              </w:rPr>
              <w:t xml:space="preserve">  "prompt_version": "PR-02 v1.3",</w:t>
            </w:r>
          </w:p>
          <w:p>
            <w:pPr>
              <w:spacing w:after="0" w:before="20" w:line="240" w:lineRule="auto"/>
            </w:pPr>
            <w:r>
              <w:rPr>
                <w:rFonts w:ascii="Consolas" w:hAnsi="Consolas"/>
                <w:color w:val="1A1A2E"/>
                <w:sz w:val="17"/>
              </w:rPr>
              <w:t xml:space="preserve">  "requirement_ids": ["FR-03", "FR-07"]</w:t>
            </w:r>
          </w:p>
          <w:p>
            <w:pPr>
              <w:spacing w:after="0" w:before="20" w:line="240" w:lineRule="auto"/>
            </w:pPr>
            <w:r>
              <w:rPr>
                <w:rFonts w:ascii="Consolas" w:hAnsi="Consolas"/>
                <w:color w:val="1A1A2E"/>
                <w:sz w:val="17"/>
              </w:rPr>
              <w:t>}</w:t>
            </w:r>
          </w:p>
        </w:tc>
      </w:tr>
    </w:tbl>
    <w:p>
      <w:pPr>
        <w:spacing w:after="80"/>
      </w:pPr>
    </w:p>
    <w:p>
      <w:pPr>
        <w:spacing w:after="140"/>
      </w:pPr>
      <w:r>
        <w:rPr>
          <w:i w:val="0"/>
          <w:sz w:val="21"/>
        </w:rPr>
        <w:t>Note the last two fields. Recording which prompt version and which requirement produced a decision is what lets you answer the question that always comes up after a problem: was this behaviour intended?</w:t>
      </w:r>
    </w:p>
    <w:p>
      <w:pPr>
        <w:spacing w:before="300" w:after="60"/>
      </w:pPr>
      <w:r>
        <w:rPr>
          <w:b/>
          <w:color w:val="1A1A2E"/>
          <w:sz w:val="25"/>
        </w:rPr>
        <w:t>Coverage check</w:t>
      </w:r>
    </w:p>
    <w:p>
      <w:pPr>
        <w:spacing w:after="140"/>
      </w:pPr>
      <w:r>
        <w:rPr>
          <w:i w:val="0"/>
          <w:sz w:val="21"/>
        </w:rPr>
        <w:t>Count your logged decisions against your processed tickets. They must reconcile exactly. A gap means some path through your system takes a decision without recording it, and that is the path where something will eventually go wrong unobserved.</w:t>
      </w:r>
    </w:p>
    <w:p>
      <w:r>
        <w:br w:type="page"/>
      </w:r>
    </w:p>
    <w:p>
      <w:pPr>
        <w:spacing w:before="440" w:after="60"/>
        <w:pBdr>
          <w:bottom w:val="single" w:sz="8" w:space="6" w:color="E8660A"/>
        </w:pBdr>
      </w:pPr>
      <w:r>
        <w:rPr>
          <w:b/>
          <w:color w:val="E8660A"/>
          <w:sz w:val="34"/>
        </w:rPr>
        <w:t xml:space="preserve">2   </w:t>
      </w:r>
      <w:r>
        <w:rPr>
          <w:b/>
          <w:color w:val="1A1A2E"/>
          <w:sz w:val="34"/>
        </w:rPr>
        <w:t>Risk register</w:t>
      </w:r>
    </w:p>
    <w:p>
      <w:pPr>
        <w:spacing w:after="140"/>
      </w:pPr>
      <w:r>
        <w:rPr>
          <w:i w:val="0"/>
          <w:sz w:val="21"/>
        </w:rPr>
        <w:t>Complete this fully. Each risk needs a likelihood, an impact, a specific mitigation and a named person accountable for it. Mitigations phrased as we will be careful are not mitigations.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2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6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Risk</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Likelihood</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Impact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Mitigation in your design</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Owner</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R-01</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The system answers confidently and incorrectly</w:t>
            </w:r>
          </w:p>
        </w:tc>
        <w:tc>
          <w:tcPr>
            <w:tcW w:type="dxa" w:w="1152"/>
            <w:tcBorders>
              <w:top w:val="single" w:sz="6" w:color="D9D9E0"/>
              <w:left w:val="single" w:sz="6" w:color="D9D9E0"/>
              <w:bottom w:val="single" w:sz="6" w:color="D9D9E0"/>
              <w:right w:val="single" w:sz="6" w:color="D9D9E0"/>
            </w:tcBorders>
          </w:tcPr>
          <w:p>
            <w:pPr>
              <w:spacing w:before="50" w:after="50"/>
            </w:pPr>
            <w:r>
              <w:t>Medium. Measured on the 15 Sep 80-ticket run: 14 of the 32 tickets the labels say should be held were auto-sent (43.8%, 95% CI 28-61%).</w:t>
            </w:r>
          </w:p>
        </w:tc>
        <w:tc>
          <w:tcPr>
            <w:tcW w:type="dxa" w:w="936"/>
            <w:tcBorders>
              <w:top w:val="single" w:sz="6" w:color="D9D9E0"/>
              <w:left w:val="single" w:sz="6" w:color="D9D9E0"/>
              <w:bottom w:val="single" w:sz="6" w:color="D9D9E0"/>
              <w:right w:val="single" w:sz="6" w:color="D9D9E0"/>
            </w:tcBorders>
          </w:tcPr>
          <w:p>
            <w:pPr>
              <w:spacing w:before="50" w:after="50"/>
            </w:pPr>
            <w:r>
              <w:t>High. EV-M3 — Marcus's first fear, and a wrong public answer is screenshottable within the hour.</w:t>
            </w:r>
          </w:p>
        </w:tc>
        <w:tc>
          <w:tcPr>
            <w:tcW w:type="dxa" w:w="3024"/>
            <w:tcBorders>
              <w:top w:val="single" w:sz="6" w:color="D9D9E0"/>
              <w:left w:val="single" w:sz="6" w:color="D9D9E0"/>
              <w:bottom w:val="single" w:sz="6" w:color="D9D9E0"/>
              <w:right w:val="single" w:sz="6" w:color="D9D9E0"/>
            </w:tcBorders>
          </w:tcPr>
          <w:p>
            <w:pPr>
              <w:spacing w:before="50" w:after="50"/>
            </w:pPr>
            <w:r>
              <w:t>Grounding guardrail blocks any claim with no supporting span in a retrieved passage (FR-17); the generator may decline rather than guess (FR-14); confidence floor 0.85 (D-05b); D-07 policy list never auto-answers four intents. RESIDUAL: the 14 unsafe sends were tickets the corpus cannot answer, answered confidently — the guardrails check what was written, not whether the corpus could answer at all.</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R-02</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Private data appears in an outbound response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Low. No PII detected in any draft on the 15 Sep run (pii_detections 0), and the synthetic dataset carries none; the model could still fabricate one.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Very high. Regulatory and reputational; a single occurrence is a governance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PII guardrail runs on every draft before routing and BLOCKS — it never redacts and sends (FR-16). Regex evidence plus a judge call; if the judge errors and no regex evidence exists, it fails safe and blocks (A7).</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R-03</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A customer's input is treated as an instruction</w:t>
            </w:r>
          </w:p>
        </w:tc>
        <w:tc>
          <w:tcPr>
            <w:tcW w:type="dxa" w:w="1152"/>
            <w:tcBorders>
              <w:top w:val="single" w:sz="6" w:color="D9D9E0"/>
              <w:left w:val="single" w:sz="6" w:color="D9D9E0"/>
              <w:bottom w:val="single" w:sz="6" w:color="D9D9E0"/>
              <w:right w:val="single" w:sz="6" w:color="D9D9E0"/>
            </w:tcBorders>
          </w:tcPr>
          <w:p>
            <w:pPr>
              <w:spacing w:before="50" w:after="50"/>
            </w:pPr>
            <w:r>
              <w:t>Medium. No injection attempt appears in the 500 dev tickets, so live frequency is unknown; the test suite covers crafted attempts only.</w:t>
            </w:r>
          </w:p>
        </w:tc>
        <w:tc>
          <w:tcPr>
            <w:tcW w:type="dxa" w:w="936"/>
            <w:tcBorders>
              <w:top w:val="single" w:sz="6" w:color="D9D9E0"/>
              <w:left w:val="single" w:sz="6" w:color="D9D9E0"/>
              <w:bottom w:val="single" w:sz="6" w:color="D9D9E0"/>
              <w:right w:val="single" w:sz="6" w:color="D9D9E0"/>
            </w:tcBorders>
          </w:tcPr>
          <w:p>
            <w:pPr>
              <w:spacing w:before="50" w:after="50"/>
            </w:pPr>
            <w:r>
              <w:t>High. A successful injection can redirect the reply or extract system text.</w:t>
            </w:r>
          </w:p>
        </w:tc>
        <w:tc>
          <w:tcPr>
            <w:tcW w:type="dxa" w:w="3024"/>
            <w:tcBorders>
              <w:top w:val="single" w:sz="6" w:color="D9D9E0"/>
              <w:left w:val="single" w:sz="6" w:color="D9D9E0"/>
              <w:bottom w:val="single" w:sz="6" w:color="D9D9E0"/>
              <w:right w:val="single" w:sz="6" w:color="D9D9E0"/>
            </w:tcBorders>
          </w:tcPr>
          <w:p>
            <w:pPr>
              <w:spacing w:before="50" w:after="50"/>
            </w:pPr>
            <w:r>
              <w:t>instruction_integrity guardrail blocks on every draft; PR-CLASSIFY-01 and PR-GENERATE-01 instruct the model to treat ticket text as data, never as instructions; PR-EVAL-JUDGE-01 carries the same rule with an adversarial example; injection fixtures in tests/. GAP: the guardrail has no PRD FR of its own.</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R-04</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Some customer groups receive worse answers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High, and measured. Non-fluent English is 24.8 percentage points below fluent on decision correctness (47.4% n=19 against 72.1% n=61) on the 15 Sep run.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Commercial risk on renewals plus a fairness finding CloudServe would have to report.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NFR-05 sets a 15pp limit; evaluation/fairness_audit.py runs per segment on every run and is tabled in section 3 below. Verdict on the binding dimension is BREACH_NOT_SIGNIFICANT: the gap exceeds 15pp but the 95% intervals overlap at n=19, so it is neither cleared nor proven. Classifier never sees tier, region, name or fluency (PR-CLASSIFY-01).</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R-05</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The documentation the system relies on goes stale</w:t>
            </w:r>
          </w:p>
        </w:tc>
        <w:tc>
          <w:tcPr>
            <w:tcW w:type="dxa" w:w="1152"/>
            <w:tcBorders>
              <w:top w:val="single" w:sz="6" w:color="D9D9E0"/>
              <w:left w:val="single" w:sz="6" w:color="D9D9E0"/>
              <w:bottom w:val="single" w:sz="6" w:color="D9D9E0"/>
              <w:right w:val="single" w:sz="6" w:color="D9D9E0"/>
            </w:tcBorders>
          </w:tcPr>
          <w:p>
            <w:pPr>
              <w:spacing w:before="50" w:after="50"/>
            </w:pPr>
            <w:r>
              <w:t>Medium over a compliance-review horizon; not observed during the build — documentation.json was unchanged 26 Aug to 18 Sep.</w:t>
            </w:r>
          </w:p>
        </w:tc>
        <w:tc>
          <w:tcPr>
            <w:tcW w:type="dxa" w:w="936"/>
            <w:tcBorders>
              <w:top w:val="single" w:sz="6" w:color="D9D9E0"/>
              <w:left w:val="single" w:sz="6" w:color="D9D9E0"/>
              <w:bottom w:val="single" w:sz="6" w:color="D9D9E0"/>
              <w:right w:val="single" w:sz="6" w:color="D9D9E0"/>
            </w:tcBorders>
          </w:tcPr>
          <w:p>
            <w:pPr>
              <w:spacing w:before="50" w:after="50"/>
            </w:pPr>
            <w:r>
              <w:t>Medium. A wrong-but-cited answer is worse than an uncited one, because the citation transfers authority to it.</w:t>
            </w:r>
          </w:p>
        </w:tc>
        <w:tc>
          <w:tcPr>
            <w:tcW w:type="dxa" w:w="3024"/>
            <w:tcBorders>
              <w:top w:val="single" w:sz="6" w:color="D9D9E0"/>
              <w:left w:val="single" w:sz="6" w:color="D9D9E0"/>
              <w:bottom w:val="single" w:sz="6" w:color="D9D9E0"/>
              <w:right w:val="single" w:sz="6" w:color="D9D9E0"/>
            </w:tcBorders>
          </w:tcPr>
          <w:p>
            <w:pPr>
              <w:spacing w:before="50" w:after="50"/>
            </w:pPr>
            <w:r>
              <w:t>The index is rebuilt from documentation.json by src/index_docs.py and every citation resolves to a retrieved doc_id (A6). NOT BUILT: no freshness monitor and no last_reviewed surfacing — PRD Table 6 records live re-indexing as out of scope, so this risk is accepted, not mitigated.</w:t>
            </w:r>
          </w:p>
        </w:tc>
        <w:tc>
          <w:tcPr>
            <w:tcW w:type="dxa" w:w="1152"/>
            <w:tcBorders>
              <w:top w:val="single" w:sz="6" w:color="D9D9E0"/>
              <w:left w:val="single" w:sz="6" w:color="D9D9E0"/>
              <w:bottom w:val="single" w:sz="6" w:color="D9D9E0"/>
              <w:right w:val="single" w:sz="6" w:color="D9D9E0"/>
            </w:tcBorders>
          </w:tcPr>
          <w:p>
            <w:pPr>
              <w:spacing w:before="50" w:after="50"/>
            </w:pPr>
            <w:r>
              <w:t>Ines (corpus owner) post-deployment. Alok Kulkarni during the build.</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R-06</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The model provider becomes unavailable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High, and realised twice. The 13 Sep free-tier run lost 46 of 80 classifications and 47 of 80 drafts to connection errors; the 17 Sep free retry hit 429 on 7 of 8 classifications.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A failed call delays a ticket rather than answering it wrongly, provided the system degrades rather than crashes.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Every call is bounded (MODEL_TIMEOUT_SECONDS, MODEL_MAX_RETRIES) so an unattended run terminates (A9); a failed classification returns unknown with the cause named (FR-05); a failed guardrail judge fails safe and blocks (A7); a degraded ticket escalates and the run continues at exit 0 (FR-23, A11). D-01a records the provider decision and leaves the free model open.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R-07</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Latency degrades under load</w:t>
            </w:r>
          </w:p>
        </w:tc>
        <w:tc>
          <w:tcPr>
            <w:tcW w:type="dxa" w:w="1152"/>
            <w:tcBorders>
              <w:top w:val="single" w:sz="6" w:color="D9D9E0"/>
              <w:left w:val="single" w:sz="6" w:color="D9D9E0"/>
              <w:bottom w:val="single" w:sz="6" w:color="D9D9E0"/>
              <w:right w:val="single" w:sz="6" w:color="D9D9E0"/>
            </w:tcBorders>
          </w:tcPr>
          <w:p>
            <w:pPr>
              <w:spacing w:before="50" w:after="50"/>
            </w:pPr>
            <w:r>
              <w:t>High, and measured. p50 18.7s, p95 30.3s, max 84s on the 15 Sep run; p95 11.2s on the 14 Sep run with a faster judge.</w:t>
            </w:r>
          </w:p>
        </w:tc>
        <w:tc>
          <w:tcPr>
            <w:tcW w:type="dxa" w:w="936"/>
            <w:tcBorders>
              <w:top w:val="single" w:sz="6" w:color="D9D9E0"/>
              <w:left w:val="single" w:sz="6" w:color="D9D9E0"/>
              <w:bottom w:val="single" w:sz="6" w:color="D9D9E0"/>
              <w:right w:val="single" w:sz="6" w:color="D9D9E0"/>
            </w:tcBorders>
          </w:tcPr>
          <w:p>
            <w:pPr>
              <w:spacing w:before="50" w:after="50"/>
            </w:pPr>
            <w:r>
              <w:t>Medium. NFR-02 requires p95 at most 4.0s, so the requirement is UNMET on every configuration measured. For an asynchronous support queue this is a target missed, not a customer-facing outage.</w:t>
            </w:r>
          </w:p>
        </w:tc>
        <w:tc>
          <w:tcPr>
            <w:tcW w:type="dxa" w:w="3024"/>
            <w:tcBorders>
              <w:top w:val="single" w:sz="6" w:color="D9D9E0"/>
              <w:left w:val="single" w:sz="6" w:color="D9D9E0"/>
              <w:bottom w:val="single" w:sz="6" w:color="D9D9E0"/>
              <w:right w:val="single" w:sz="6" w:color="D9D9E0"/>
            </w:tcBorders>
          </w:tcPr>
          <w:p>
            <w:pPr>
              <w:spacing w:before="50" w:after="50"/>
            </w:pPr>
            <w:r>
              <w:t>Per-call timeout and retry cap bound the worst case; latency is reported in every metrics report (p50, p95, max). The dominant cost is six sequential model calls per ticket, five of them guardrails. NOT MITIGATED: no batching or parallelism. Recorded as a breach in the Stage 5 revision log.</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R-08</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Costs rise unexpectedly with volume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Medium. Volume here is fixed (80 validation, 120 hidden), so the exposure is a provider or model change rather than growth.</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NFR-08 requires the run to fit the free tier; a billed model breaks the cost-nothing constraint the project is built on.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src/usage.py records prompt and completion tokens and a price for every call, and every metrics report carries cost_metrics by stage. D-01a keeps the graded configuration on a free tier. FOUND 18 SEP: the committed default model (meta-llama/llama-3.1-8b-instruct) is billed, so the documented configuration is not free; the free model is still open.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r>
          </w:p>
        </w:tc>
        <w:tc>
          <w:tcPr>
            <w:tcW w:type="dxa" w:w="266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936"/>
            <w:tcBorders>
              <w:top w:val="single" w:sz="6" w:color="D9D9E0"/>
              <w:left w:val="single" w:sz="6" w:color="D9D9E0"/>
              <w:bottom w:val="single" w:sz="6" w:color="D9D9E0"/>
              <w:right w:val="single" w:sz="6" w:color="D9D9E0"/>
            </w:tcBorders>
          </w:tcPr>
          <w:p>
            <w:pPr>
              <w:spacing w:before="50" w:after="50"/>
            </w:pPr>
            <w:r>
              <w:rPr>
                <w:sz w:val="15"/>
              </w:rPr>
            </w:r>
          </w:p>
        </w:tc>
        <w:tc>
          <w:tcPr>
            <w:tcW w:type="dxa" w:w="302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r>
          </w:p>
        </w:tc>
        <w:tc>
          <w:tcPr>
            <w:tcW w:type="dxa" w:w="266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936"/>
            <w:tcBorders>
              <w:top w:val="single" w:sz="6" w:color="D9D9E0"/>
              <w:left w:val="single" w:sz="6" w:color="D9D9E0"/>
              <w:bottom w:val="single" w:sz="6" w:color="D9D9E0"/>
              <w:right w:val="single" w:sz="6" w:color="D9D9E0"/>
            </w:tcBorders>
          </w:tcPr>
          <w:p>
            <w:pPr>
              <w:spacing w:before="50" w:after="50"/>
            </w:pPr>
            <w:r>
              <w:rPr>
                <w:sz w:val="15"/>
              </w:rPr>
            </w:r>
          </w:p>
        </w:tc>
        <w:tc>
          <w:tcPr>
            <w:tcW w:type="dxa" w:w="302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spacing w:after="80"/>
      </w:pPr>
    </w:p>
    <w:p>
      <w:pPr>
        <w:spacing w:before="440" w:after="60"/>
        <w:pBdr>
          <w:bottom w:val="single" w:sz="8" w:space="6" w:color="E8660A"/>
        </w:pBdr>
      </w:pPr>
      <w:r>
        <w:rPr>
          <w:b/>
          <w:color w:val="E8660A"/>
          <w:sz w:val="34"/>
        </w:rPr>
        <w:t xml:space="preserve">3   </w:t>
      </w:r>
      <w:r>
        <w:rPr>
          <w:b/>
          <w:color w:val="1A1A2E"/>
          <w:sz w:val="34"/>
        </w:rPr>
        <w:t>Fairness audit</w:t>
      </w:r>
    </w:p>
    <w:p>
      <w:pPr>
        <w:spacing w:after="140"/>
      </w:pPr>
      <w:r>
        <w:rPr>
          <w:i w:val="0"/>
          <w:sz w:val="21"/>
        </w:rPr>
        <w:t>Your system will not treat all customers identically, and you need to know in which direction and by how much. Segment your test set and compare outcomes across segments.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Segment</w:t>
            </w:r>
          </w:p>
        </w:tc>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Tickets in segment</w:t>
            </w:r>
          </w:p>
        </w:tc>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Resolution rate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Quality score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Variation from best</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Explanation</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Enterprise customers</w:t>
            </w:r>
          </w:p>
        </w:tc>
        <w:tc>
          <w:tcPr>
            <w:tcW w:type="dxa" w:w="1368"/>
            <w:tcBorders>
              <w:top w:val="single" w:sz="6" w:color="D9D9E0"/>
              <w:left w:val="single" w:sz="6" w:color="D9D9E0"/>
              <w:bottom w:val="single" w:sz="6" w:color="D9D9E0"/>
              <w:right w:val="single" w:sz="6" w:color="D9D9E0"/>
            </w:tcBorders>
          </w:tcPr>
          <w:p>
            <w:pPr>
              <w:spacing w:before="50" w:after="50"/>
            </w:pPr>
            <w:r>
              <w:t>8</w:t>
            </w:r>
          </w:p>
        </w:tc>
        <w:tc>
          <w:tcPr>
            <w:tcW w:type="dxa" w:w="1368"/>
            <w:tcBorders>
              <w:top w:val="single" w:sz="6" w:color="D9D9E0"/>
              <w:left w:val="single" w:sz="6" w:color="D9D9E0"/>
              <w:bottom w:val="single" w:sz="6" w:color="D9D9E0"/>
              <w:right w:val="single" w:sz="6" w:color="D9D9E0"/>
            </w:tcBorders>
          </w:tcPr>
          <w:p>
            <w:pPr>
              <w:spacing w:before="50" w:after="50"/>
            </w:pPr>
            <w:r>
              <w:t>67% (4/6)</w:t>
            </w:r>
          </w:p>
        </w:tc>
        <w:tc>
          <w:tcPr>
            <w:tcW w:type="dxa" w:w="1296"/>
            <w:tcBorders>
              <w:top w:val="single" w:sz="6" w:color="D9D9E0"/>
              <w:left w:val="single" w:sz="6" w:color="D9D9E0"/>
              <w:bottom w:val="single" w:sz="6" w:color="D9D9E0"/>
              <w:right w:val="single" w:sz="6" w:color="D9D9E0"/>
            </w:tcBorders>
          </w:tcPr>
          <w:p>
            <w:pPr>
              <w:spacing w:before="50" w:after="50"/>
            </w:pPr>
            <w:r>
              <w:t>62% (5/8; 95% CI 31-86%)</w:t>
            </w:r>
          </w:p>
        </w:tc>
        <w:tc>
          <w:tcPr>
            <w:tcW w:type="dxa" w:w="1440"/>
            <w:tcBorders>
              <w:top w:val="single" w:sz="6" w:color="D9D9E0"/>
              <w:left w:val="single" w:sz="6" w:color="D9D9E0"/>
              <w:bottom w:val="single" w:sz="6" w:color="D9D9E0"/>
              <w:right w:val="single" w:sz="6" w:color="D9D9E0"/>
            </w:tcBorders>
          </w:tcPr>
          <w:p>
            <w:pPr>
              <w:spacing w:before="50" w:after="50"/>
            </w:pPr>
            <w:r>
              <w:t>16pp below best</w:t>
            </w:r>
          </w:p>
        </w:tc>
        <w:tc>
          <w:tcPr>
            <w:tcW w:type="dxa" w:w="2016"/>
            <w:tcBorders>
              <w:top w:val="single" w:sz="6" w:color="D9D9E0"/>
              <w:left w:val="single" w:sz="6" w:color="D9D9E0"/>
              <w:bottom w:val="single" w:sz="6" w:color="D9D9E0"/>
              <w:right w:val="single" w:sz="6" w:color="D9D9E0"/>
            </w:tcBorders>
          </w:tcPr>
          <w:p>
            <w:pPr>
              <w:spacing w:before="50" w:after="50"/>
            </w:pPr>
            <w:r>
              <w:t>Best is standard tier at 79%. n=8 — indicative only; one ticket moves this 12.5pp.</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Small business customers</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30</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62% (13/21)</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50% (15/30; 95% CI 33-67%)</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29pp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The largest gap in the audit. Best is standard tier at 79% (n=42). Not explained by ticket mix: business tickets are 70% answerable against 60% for standard.</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Tickets in fluent English</w:t>
            </w:r>
          </w:p>
        </w:tc>
        <w:tc>
          <w:tcPr>
            <w:tcW w:type="dxa" w:w="1368"/>
            <w:tcBorders>
              <w:top w:val="single" w:sz="6" w:color="D9D9E0"/>
              <w:left w:val="single" w:sz="6" w:color="D9D9E0"/>
              <w:bottom w:val="single" w:sz="6" w:color="D9D9E0"/>
              <w:right w:val="single" w:sz="6" w:color="D9D9E0"/>
            </w:tcBorders>
          </w:tcPr>
          <w:p>
            <w:pPr>
              <w:spacing w:before="50" w:after="50"/>
            </w:pPr>
            <w:r>
              <w:t>61</w:t>
            </w:r>
          </w:p>
        </w:tc>
        <w:tc>
          <w:tcPr>
            <w:tcW w:type="dxa" w:w="1368"/>
            <w:tcBorders>
              <w:top w:val="single" w:sz="6" w:color="D9D9E0"/>
              <w:left w:val="single" w:sz="6" w:color="D9D9E0"/>
              <w:bottom w:val="single" w:sz="6" w:color="D9D9E0"/>
              <w:right w:val="single" w:sz="6" w:color="D9D9E0"/>
            </w:tcBorders>
          </w:tcPr>
          <w:p>
            <w:pPr>
              <w:spacing w:before="50" w:after="50"/>
            </w:pPr>
            <w:r>
              <w:t>75% (30/40)</w:t>
            </w:r>
          </w:p>
        </w:tc>
        <w:tc>
          <w:tcPr>
            <w:tcW w:type="dxa" w:w="1296"/>
            <w:tcBorders>
              <w:top w:val="single" w:sz="6" w:color="D9D9E0"/>
              <w:left w:val="single" w:sz="6" w:color="D9D9E0"/>
              <w:bottom w:val="single" w:sz="6" w:color="D9D9E0"/>
              <w:right w:val="single" w:sz="6" w:color="D9D9E0"/>
            </w:tcBorders>
          </w:tcPr>
          <w:p>
            <w:pPr>
              <w:spacing w:before="50" w:after="50"/>
            </w:pPr>
            <w:r>
              <w:t>72% (44/61; 95% CI 60-82%)</w:t>
            </w:r>
          </w:p>
        </w:tc>
        <w:tc>
          <w:tcPr>
            <w:tcW w:type="dxa" w:w="1440"/>
            <w:tcBorders>
              <w:top w:val="single" w:sz="6" w:color="D9D9E0"/>
              <w:left w:val="single" w:sz="6" w:color="D9D9E0"/>
              <w:bottom w:val="single" w:sz="6" w:color="D9D9E0"/>
              <w:right w:val="single" w:sz="6" w:color="D9D9E0"/>
            </w:tcBorders>
          </w:tcPr>
          <w:p>
            <w:pPr>
              <w:spacing w:before="50" w:after="50"/>
            </w:pPr>
            <w:r>
              <w:t>Best segment</w:t>
            </w:r>
          </w:p>
        </w:tc>
        <w:tc>
          <w:tcPr>
            <w:tcW w:type="dxa" w:w="2016"/>
            <w:tcBorders>
              <w:top w:val="single" w:sz="6" w:color="D9D9E0"/>
              <w:left w:val="single" w:sz="6" w:color="D9D9E0"/>
              <w:bottom w:val="single" w:sz="6" w:color="D9D9E0"/>
              <w:right w:val="single" w:sz="6" w:color="D9D9E0"/>
            </w:tcBorders>
          </w:tcPr>
          <w:p>
            <w:pPr>
              <w:spacing w:before="50" w:after="50"/>
            </w:pPr>
            <w:r>
              <w:t>Binding dimension for NFR-05 (EV-DATA-09). Mean classifier confidence 0.8151.</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Tickets in non-fluent English</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19</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62% (5/8)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47% (9/19; 95% CI 27-68%)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25pp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Verdict BREACH_NOT_SIGNIFICANT: past the 15pp limit, but the intervals overlap at n=19. Unanswerable tickets auto-sent: 7 of 11 (64%) against 33% for fluent.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Short tickets</w:t>
            </w:r>
          </w:p>
        </w:tc>
        <w:tc>
          <w:tcPr>
            <w:tcW w:type="dxa" w:w="1368"/>
            <w:tcBorders>
              <w:top w:val="single" w:sz="6" w:color="D9D9E0"/>
              <w:left w:val="single" w:sz="6" w:color="D9D9E0"/>
              <w:bottom w:val="single" w:sz="6" w:color="D9D9E0"/>
              <w:right w:val="single" w:sz="6" w:color="D9D9E0"/>
            </w:tcBorders>
          </w:tcPr>
          <w:p>
            <w:pPr>
              <w:spacing w:before="50" w:after="50"/>
            </w:pPr>
            <w:r>
              <w:t>28</w:t>
            </w:r>
          </w:p>
        </w:tc>
        <w:tc>
          <w:tcPr>
            <w:tcW w:type="dxa" w:w="1368"/>
            <w:tcBorders>
              <w:top w:val="single" w:sz="6" w:color="D9D9E0"/>
              <w:left w:val="single" w:sz="6" w:color="D9D9E0"/>
              <w:bottom w:val="single" w:sz="6" w:color="D9D9E0"/>
              <w:right w:val="single" w:sz="6" w:color="D9D9E0"/>
            </w:tcBorders>
          </w:tcPr>
          <w:p>
            <w:pPr>
              <w:spacing w:before="50" w:after="50"/>
            </w:pPr>
            <w:r>
              <w:t>60% (9/15)</w:t>
            </w:r>
          </w:p>
        </w:tc>
        <w:tc>
          <w:tcPr>
            <w:tcW w:type="dxa" w:w="1296"/>
            <w:tcBorders>
              <w:top w:val="single" w:sz="6" w:color="D9D9E0"/>
              <w:left w:val="single" w:sz="6" w:color="D9D9E0"/>
              <w:bottom w:val="single" w:sz="6" w:color="D9D9E0"/>
              <w:right w:val="single" w:sz="6" w:color="D9D9E0"/>
            </w:tcBorders>
          </w:tcPr>
          <w:p>
            <w:pPr>
              <w:spacing w:before="50" w:after="50"/>
            </w:pPr>
            <w:r>
              <w:t>61% (17/28; 95% CI 42-76%)</w:t>
            </w:r>
          </w:p>
        </w:tc>
        <w:tc>
          <w:tcPr>
            <w:tcW w:type="dxa" w:w="1440"/>
            <w:tcBorders>
              <w:top w:val="single" w:sz="6" w:color="D9D9E0"/>
              <w:left w:val="single" w:sz="6" w:color="D9D9E0"/>
              <w:bottom w:val="single" w:sz="6" w:color="D9D9E0"/>
              <w:right w:val="single" w:sz="6" w:color="D9D9E0"/>
            </w:tcBorders>
          </w:tcPr>
          <w:p>
            <w:pPr>
              <w:spacing w:before="50" w:after="50"/>
            </w:pPr>
            <w:r>
              <w:t>14pp below best</w:t>
            </w:r>
          </w:p>
        </w:tc>
        <w:tc>
          <w:tcPr>
            <w:tcW w:type="dxa" w:w="2016"/>
            <w:tcBorders>
              <w:top w:val="single" w:sz="6" w:color="D9D9E0"/>
              <w:left w:val="single" w:sz="6" w:color="D9D9E0"/>
              <w:bottom w:val="single" w:sz="6" w:color="D9D9E0"/>
              <w:right w:val="single" w:sz="6" w:color="D9D9E0"/>
            </w:tcBorders>
          </w:tcPr>
          <w:p>
            <w:pPr>
              <w:spacing w:before="50" w:after="50"/>
            </w:pPr>
            <w:r>
              <w:t>Under 23 words. Within the 15pp limit. Mean confidence 0.7464, the lowest of the three length bands — the classifier is appropriately less certain on thin input.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Long or complex tickets</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24</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80% (12/15)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62% (15/24; 95% CI 43-79%)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12pp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Over 31 words. Best is medium-length at 75%. Resolution is highest here, but more of these tickets are unanswerable and get answered anyway.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296"/>
            <w:tcBorders>
              <w:top w:val="single" w:sz="6" w:color="D9D9E0"/>
              <w:left w:val="single" w:sz="6" w:color="D9D9E0"/>
              <w:bottom w:val="single" w:sz="6" w:color="D9D9E0"/>
              <w:right w:val="single" w:sz="6" w:color="D9D9E0"/>
            </w:tcBorders>
          </w:tcPr>
          <w:p>
            <w:pPr>
              <w:spacing w:before="50" w:after="50"/>
            </w:pPr>
            <w:r>
              <w:rPr>
                <w:sz w:val="15"/>
              </w:rPr>
            </w:r>
          </w:p>
        </w:tc>
        <w:tc>
          <w:tcPr>
            <w:tcW w:type="dxa" w:w="1440"/>
            <w:tcBorders>
              <w:top w:val="single" w:sz="6" w:color="D9D9E0"/>
              <w:left w:val="single" w:sz="6" w:color="D9D9E0"/>
              <w:bottom w:val="single" w:sz="6" w:color="D9D9E0"/>
              <w:right w:val="single" w:sz="6" w:color="D9D9E0"/>
            </w:tcBorders>
          </w:tcPr>
          <w:p>
            <w:pPr>
              <w:spacing w:before="50" w:after="50"/>
            </w:pPr>
            <w:r>
              <w:rPr>
                <w:sz w:val="15"/>
              </w:rPr>
            </w:r>
          </w:p>
        </w:tc>
        <w:tc>
          <w:tcPr>
            <w:tcW w:type="dxa" w:w="2016"/>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296"/>
            <w:tcBorders>
              <w:top w:val="single" w:sz="6" w:color="D9D9E0"/>
              <w:left w:val="single" w:sz="6" w:color="D9D9E0"/>
              <w:bottom w:val="single" w:sz="6" w:color="D9D9E0"/>
              <w:right w:val="single" w:sz="6" w:color="D9D9E0"/>
            </w:tcBorders>
          </w:tcPr>
          <w:p>
            <w:pPr>
              <w:spacing w:before="50" w:after="50"/>
            </w:pPr>
            <w:r>
              <w:rPr>
                <w:sz w:val="15"/>
              </w:rPr>
            </w:r>
          </w:p>
        </w:tc>
        <w:tc>
          <w:tcPr>
            <w:tcW w:type="dxa" w:w="1440"/>
            <w:tcBorders>
              <w:top w:val="single" w:sz="6" w:color="D9D9E0"/>
              <w:left w:val="single" w:sz="6" w:color="D9D9E0"/>
              <w:bottom w:val="single" w:sz="6" w:color="D9D9E0"/>
              <w:right w:val="single" w:sz="6" w:color="D9D9E0"/>
            </w:tcBorders>
          </w:tcPr>
          <w:p>
            <w:pPr>
              <w:spacing w:before="50" w:after="50"/>
            </w:pPr>
            <w:r>
              <w:rPr>
                <w:sz w:val="15"/>
              </w:rPr>
            </w:r>
          </w:p>
        </w:tc>
        <w:tc>
          <w:tcPr>
            <w:tcW w:type="dxa" w:w="2016"/>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variation you are most likely to find</w:t>
            </w:r>
          </w:p>
          <w:p>
            <w:pPr>
              <w:spacing w:after="160"/>
            </w:pPr>
            <w:r>
              <w:rPr>
                <w:color w:val="333344"/>
                <w:sz w:val="20"/>
              </w:rPr>
              <w:t>Systems built on retrieval tend to perform noticeably worse on tickets written in non-fluent English, because the retrieval step depends on the phrasing matching the documentation. This is a real and common fairness problem. Finding it and reporting it honestly is worth far more than a table showing no variation anywhere.</w:t>
            </w:r>
          </w:p>
        </w:tc>
      </w:tr>
    </w:tbl>
    <w:p>
      <w:pPr>
        <w:spacing w:after="40"/>
      </w:pPr>
    </w:p>
    <w:p>
      <w:r>
        <w:br w:type="page"/>
      </w:r>
    </w:p>
    <w:p>
      <w:pPr>
        <w:spacing w:before="440" w:after="60"/>
        <w:pBdr>
          <w:bottom w:val="single" w:sz="8" w:space="6" w:color="E8660A"/>
        </w:pBdr>
      </w:pPr>
      <w:r>
        <w:rPr>
          <w:b/>
          <w:color w:val="E8660A"/>
          <w:sz w:val="34"/>
        </w:rPr>
        <w:t xml:space="preserve">4   </w:t>
      </w:r>
      <w:r>
        <w:rPr>
          <w:b/>
          <w:color w:val="1A1A2E"/>
          <w:sz w:val="34"/>
        </w:rPr>
        <w:t>Guardrails</w:t>
      </w:r>
    </w:p>
    <w:p>
      <w:pPr>
        <w:spacing w:after="140"/>
      </w:pPr>
      <w:r>
        <w:rPr>
          <w:i w:val="0"/>
          <w:sz w:val="21"/>
        </w:rPr>
        <w:t>A guardrail is a check that runs on every response and can block it. Guardrails that only run in testing are not guardrails; they are tests.</w:t>
      </w:r>
    </w:p>
    <w:tbl>
      <w:tblPr>
        <w:tblW w:type="auto" w:w="0"/>
        <w:jc w:val="center"/>
        <w:tblLayout w:type="fixed"/>
        <w:tblLook w:firstColumn="1" w:firstRow="1" w:lastColumn="0" w:lastRow="0" w:noHBand="0" w:noVBand="1" w:val="04A0"/>
      </w:tblPr>
      <w:tblGrid>
        <w:gridCol w:w="3216"/>
        <w:gridCol w:w="3216"/>
        <w:gridCol w:w="3216"/>
      </w:tblGrid>
      <w:tr>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Guardrail</w:t>
            </w:r>
          </w:p>
        </w:tc>
        <w:tc>
          <w:tcPr>
            <w:tcW w:type="dxa" w:w="388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What it checks</w:t>
            </w:r>
          </w:p>
        </w:tc>
        <w:tc>
          <w:tcPr>
            <w:tcW w:type="dxa" w:w="388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What happens when it fires</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Private data</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Names, addresses, keys, account numbers, anything identifying another customer.</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Block and escalate. Never redact and send.</w:t>
            </w:r>
          </w:p>
        </w:tc>
      </w:tr>
      <w:tr>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Grounding</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Every factual claim traceable to a retrieved passage.</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Block and escalate with the unsupported claim flagged.</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Instruction integrity</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ticket content has not altered the system's instructions.</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Block, escalate and record the input for review.</w:t>
            </w:r>
          </w:p>
        </w:tc>
      </w:tr>
      <w:tr>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Tone and scope</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The response stays within support scope and does not make commitments.</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Block. Commitments about refunds or timelines are not the system's to make.</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Confidence floor</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routing threshold was actually applied.</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Escalate. A missing confidence score is not a high one.</w:t>
            </w:r>
          </w:p>
        </w:tc>
      </w:tr>
    </w:tbl>
    <w:p>
      <w:pPr>
        <w:spacing w:after="80"/>
      </w:pPr>
    </w:p>
    <w:p>
      <w:pPr>
        <w:spacing w:before="440" w:after="60"/>
        <w:pBdr>
          <w:bottom w:val="single" w:sz="8" w:space="6" w:color="E8660A"/>
        </w:pBdr>
      </w:pPr>
      <w:r>
        <w:rPr>
          <w:b/>
          <w:color w:val="E8660A"/>
          <w:sz w:val="34"/>
        </w:rPr>
        <w:t xml:space="preserve">5   </w:t>
      </w:r>
      <w:r>
        <w:rPr>
          <w:b/>
          <w:color w:val="1A1A2E"/>
          <w:sz w:val="34"/>
        </w:rPr>
        <w:t>Incident response</w:t>
      </w:r>
    </w:p>
    <w:p>
      <w:pPr>
        <w:spacing w:after="140"/>
      </w:pPr>
      <w:r>
        <w:rPr>
          <w:i w:val="0"/>
          <w:sz w:val="21"/>
        </w:rPr>
        <w:t>Write this so that someone unfamiliar with your system could follow it at two in the morning. That constraint is what forces the useful level of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Step</w:t>
            </w:r>
          </w:p>
        </w:tc>
        <w:tc>
          <w:tcPr>
            <w:tcW w:type="dxa" w:w="403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to do</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Who does it</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How long it should take</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1. Detect</w:t>
            </w:r>
          </w:p>
        </w:tc>
        <w:tc>
          <w:tcPr>
            <w:tcW w:type="dxa" w:w="4032"/>
            <w:tcBorders>
              <w:top w:val="single" w:sz="6" w:color="D9D9E0"/>
              <w:left w:val="single" w:sz="6" w:color="D9D9E0"/>
              <w:bottom w:val="single" w:sz="6" w:color="D9D9E0"/>
              <w:right w:val="single" w:sz="6" w:color="D9D9E0"/>
            </w:tcBorders>
          </w:tcPr>
          <w:p>
            <w:pPr>
              <w:spacing w:before="50" w:after="50"/>
            </w:pPr>
            <w:r>
              <w:t>Three routes: a customer or agent reports a bad reply; a run's figures move (unsafe-send rate, guardrail fail-safe share, pii_detections above 0, reconciliation false); or decision-log review finds one. Nothing is automatic today — there is no alerting, so detection depends on someone reading the run.</w:t>
            </w:r>
          </w:p>
        </w:tc>
        <w:tc>
          <w:tcPr>
            <w:tcW w:type="dxa" w:w="1872"/>
            <w:tcBorders>
              <w:top w:val="single" w:sz="6" w:color="D9D9E0"/>
              <w:left w:val="single" w:sz="6" w:color="D9D9E0"/>
              <w:bottom w:val="single" w:sz="6" w:color="D9D9E0"/>
              <w:right w:val="single" w:sz="6" w:color="D9D9E0"/>
            </w:tcBorders>
          </w:tcPr>
          <w:p>
            <w:pPr>
              <w:spacing w:before="50" w:after="50"/>
            </w:pPr>
            <w:r>
              <w:t>Author during the build. Post-deployment: support duty manager, on the same rota that reads escalations.</w:t>
            </w:r>
          </w:p>
        </w:tc>
        <w:tc>
          <w:tcPr>
            <w:tcW w:type="dxa" w:w="2016"/>
            <w:tcBorders>
              <w:top w:val="single" w:sz="6" w:color="D9D9E0"/>
              <w:left w:val="single" w:sz="6" w:color="D9D9E0"/>
              <w:bottom w:val="single" w:sz="6" w:color="D9D9E0"/>
              <w:right w:val="single" w:sz="6" w:color="D9D9E0"/>
            </w:tcBorders>
          </w:tcPr>
          <w:p>
            <w:pPr>
              <w:spacing w:before="50" w:after="50"/>
            </w:pPr>
            <w:r>
              <w:t>Same working day for a report; within one run for a metric shift.</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2. Contain</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Set CONFIDENCE_THRESHOLD above 1.0 (e.g. 1.01) and restart. route() then finds every classifier confidence below the floor and escalates every ticket to a person (src/route.py, step 6). If a harness run is in progress, stop it; completed rows are already on disk.</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 or whoever holds the kill switch (section 7). No engineer required.</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Minutes. Configuration is read at process start; no code change or deploy.</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3. Assess</w:t>
            </w:r>
          </w:p>
        </w:tc>
        <w:tc>
          <w:tcPr>
            <w:tcW w:type="dxa" w:w="4032"/>
            <w:tcBorders>
              <w:top w:val="single" w:sz="6" w:color="D9D9E0"/>
              <w:left w:val="single" w:sz="6" w:color="D9D9E0"/>
              <w:bottom w:val="single" w:sz="6" w:color="D9D9E0"/>
              <w:right w:val="single" w:sz="6" w:color="D9D9E0"/>
            </w:tcBorders>
          </w:tcPr>
          <w:p>
            <w:pPr>
              <w:spacing w:before="50" w:after="50"/>
            </w:pPr>
            <w:r>
              <w:t>Pull the ticket's decision-log row and its results.jsonl entry. Both carry the inbound request, the draft before guardrails, each guardrail verdict with its full reason and structured detail, the routing decision and reason, prompt_version and requirement_ids. Establish which layer failed: ungrounded claim, PII, provider failure, or a ticket the corpus cannot answer.</w:t>
            </w:r>
          </w:p>
        </w:tc>
        <w:tc>
          <w:tcPr>
            <w:tcW w:type="dxa" w:w="1872"/>
            <w:tcBorders>
              <w:top w:val="single" w:sz="6" w:color="D9D9E0"/>
              <w:left w:val="single" w:sz="6" w:color="D9D9E0"/>
              <w:bottom w:val="single" w:sz="6" w:color="D9D9E0"/>
              <w:right w:val="single" w:sz="6" w:color="D9D9E0"/>
            </w:tcBorders>
          </w:tcPr>
          <w:p>
            <w:pPr>
              <w:spacing w:before="50" w:after="50"/>
            </w:pPr>
            <w:r>
              <w:t>Author. A second reader for anything involving private data.</w:t>
            </w:r>
          </w:p>
        </w:tc>
        <w:tc>
          <w:tcPr>
            <w:tcW w:type="dxa" w:w="2016"/>
            <w:tcBorders>
              <w:top w:val="single" w:sz="6" w:color="D9D9E0"/>
              <w:left w:val="single" w:sz="6" w:color="D9D9E0"/>
              <w:bottom w:val="single" w:sz="6" w:color="D9D9E0"/>
              <w:right w:val="single" w:sz="6" w:color="D9D9E0"/>
            </w:tcBorders>
          </w:tcPr>
          <w:p>
            <w:pPr>
              <w:spacing w:before="50" w:after="50"/>
            </w:pPr>
            <w:r>
              <w:t>Under an hour per ticket; the record is designed so no re-run against the provider is needed.</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4. Notify</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Head of Support first, with the decision_id and the draft as sent. Private-data or compliance cases also go to the compliance contact named for the autumn review (EV-M5), and the affected customer's account owner. Record who was told and when.</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 to Head of Support; Head of Support to the customer.</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Same day. Immediately, before any other step, for private data.</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5. Remediate</w:t>
            </w:r>
          </w:p>
        </w:tc>
        <w:tc>
          <w:tcPr>
            <w:tcW w:type="dxa" w:w="4032"/>
            <w:tcBorders>
              <w:top w:val="single" w:sz="6" w:color="D9D9E0"/>
              <w:left w:val="single" w:sz="6" w:color="D9D9E0"/>
              <w:bottom w:val="single" w:sz="6" w:color="D9D9E0"/>
              <w:right w:val="single" w:sz="6" w:color="D9D9E0"/>
            </w:tcBorders>
          </w:tcPr>
          <w:p>
            <w:pPr>
              <w:spacing w:before="50" w:after="50"/>
            </w:pPr>
            <w:r>
              <w:t>Fix at the layer the assessment names: prompt version bump, guardrail rule, threshold, or a corpus article for a documentation gap. Re-run the affected tickets, then the full 80-ticket validation gate, before auto-send is re-enabled. Record the change as a Stage 5 revision-log row.</w:t>
            </w:r>
          </w:p>
        </w:tc>
        <w:tc>
          <w:tcPr>
            <w:tcW w:type="dxa" w:w="1872"/>
            <w:tcBorders>
              <w:top w:val="single" w:sz="6" w:color="D9D9E0"/>
              <w:left w:val="single" w:sz="6" w:color="D9D9E0"/>
              <w:bottom w:val="single" w:sz="6" w:color="D9D9E0"/>
              <w:right w:val="single" w:sz="6" w:color="D9D9E0"/>
            </w:tcBorders>
          </w:tcPr>
          <w:p>
            <w:pPr>
              <w:spacing w:before="50" w:after="50"/>
            </w:pPr>
            <w:r>
              <w:t>Author.</w:t>
            </w:r>
          </w:p>
        </w:tc>
        <w:tc>
          <w:tcPr>
            <w:tcW w:type="dxa" w:w="2016"/>
            <w:tcBorders>
              <w:top w:val="single" w:sz="6" w:color="D9D9E0"/>
              <w:left w:val="single" w:sz="6" w:color="D9D9E0"/>
              <w:bottom w:val="single" w:sz="6" w:color="D9D9E0"/>
              <w:right w:val="single" w:sz="6" w:color="D9D9E0"/>
            </w:tcBorders>
          </w:tcPr>
          <w:p>
            <w:pPr>
              <w:spacing w:before="50" w:after="50"/>
            </w:pPr>
            <w:r>
              <w:t>One to three days, depending on the layer. A corpus gap depends on Ines.</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6. Review</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Write the cause, the fix and the evidence into the Stage 5 revision log and update this risk register. Add a regression test in tests/ that fails on the old behaviour — every defect found during the build has one, and that is what stops it returning.</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Within a week of the incident closing.</w:t>
            </w:r>
          </w:p>
        </w:tc>
      </w:tr>
    </w:tbl>
    <w:p>
      <w:pPr>
        <w:spacing w:after="80"/>
      </w:pPr>
    </w:p>
    <w:p>
      <w:pPr>
        <w:spacing w:before="300" w:after="60"/>
      </w:pPr>
      <w:r>
        <w:rPr>
          <w:b/>
          <w:color w:val="1A1A2E"/>
          <w:sz w:val="25"/>
        </w:rPr>
        <w:t>The kill switch</w:t>
      </w:r>
    </w:p>
    <w:p>
      <w:pPr>
        <w:spacing w:after="140"/>
      </w:pPr>
      <w:r>
        <w:rPr>
          <w:i w:val="0"/>
          <w:sz w:val="21"/>
        </w:rPr>
        <w:t>Every system of this kind needs a way to stop it answering automatically, immediately, without a deployment. State what yours is, who can operate it, and how long it takes to take effect. If you do not have one, that is your first governance finding.</w:t>
      </w:r>
    </w:p>
    <w:tbl>
      <w:tblPr>
        <w:tblW w:type="auto" w:w="0"/>
        <w:jc w:val="center"/>
        <w:tblLayout w:type="fixed"/>
        <w:tblLook w:firstColumn="1" w:firstRow="1" w:lastColumn="0" w:lastRow="0" w:noHBand="0" w:noVBand="1" w:val="04A0"/>
      </w:tblPr>
      <w:tblGrid>
        <w:gridCol w:w="4824"/>
        <w:gridCol w:w="4824"/>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3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What is the mechanism?</w:t>
            </w:r>
          </w:p>
        </w:tc>
        <w:tc>
          <w:tcPr>
            <w:tcW w:type="dxa" w:w="6336"/>
            <w:tcBorders>
              <w:top w:val="single" w:sz="6" w:color="D9D9E0"/>
              <w:left w:val="single" w:sz="6" w:color="D9D9E0"/>
              <w:bottom w:val="single" w:sz="6" w:color="D9D9E0"/>
              <w:right w:val="single" w:sz="6" w:color="D9D9E0"/>
            </w:tcBorders>
          </w:tcPr>
          <w:p>
            <w:pPr>
              <w:spacing w:before="50" w:after="50"/>
            </w:pPr>
            <w:r>
              <w:t>CONFIDENCE_THRESHOLD set above 1.0 in .env (1.01 is the documented value). src/route.py compares the classifier's confidence against it and escalates anything below, so no ticket can reach auto_respond and every reply goes to a person with a logged reason. The harder stop is to stop the process. No code change, no deploy, and nothing is deleted.</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Who is authorised to use it?</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Alok Kulkarni during the build. In a deployment it must belong to the Head of Support and the support on-call rota rather than an engineer, because the people who see the harm first are the ones who answer the tickets.</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How long until it takes effect?</w:t>
            </w:r>
          </w:p>
        </w:tc>
        <w:tc>
          <w:tcPr>
            <w:tcW w:type="dxa" w:w="6336"/>
            <w:tcBorders>
              <w:top w:val="single" w:sz="6" w:color="D9D9E0"/>
              <w:left w:val="single" w:sz="6" w:color="D9D9E0"/>
              <w:bottom w:val="single" w:sz="6" w:color="D9D9E0"/>
              <w:right w:val="single" w:sz="6" w:color="D9D9E0"/>
            </w:tcBorders>
          </w:tcPr>
          <w:p>
            <w:pPr>
              <w:spacing w:before="50" w:after="50"/>
            </w:pPr>
            <w:r>
              <w:t>Seconds — the next process start. Configuration is read once at import (src/config.py), so a running process keeps the old value until restarted. That is the one thing to check: restart, do not just edit.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happens to tickets in flight?</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The ticket being processed finishes and is written to the decision log and results file; rows already written survive, because results stream to disk per ticket. Tickets not yet started are escalated on the next run. Note the scope honestly: this project drafts and routes but has no live send path, so the switch changes routing, not a message already delivered to a customer.</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How is it tested?</w:t>
            </w:r>
          </w:p>
        </w:tc>
        <w:tc>
          <w:tcPr>
            <w:tcW w:type="dxa" w:w="6336"/>
            <w:tcBorders>
              <w:top w:val="single" w:sz="6" w:color="D9D9E0"/>
              <w:left w:val="single" w:sz="6" w:color="D9D9E0"/>
              <w:bottom w:val="single" w:sz="6" w:color="D9D9E0"/>
              <w:right w:val="single" w:sz="6" w:color="D9D9E0"/>
            </w:tcBorders>
          </w:tcPr>
          <w:p>
            <w:pPr>
              <w:spacing w:before="50" w:after="50"/>
            </w:pPr>
            <w:r>
              <w:t>Indirectly. route() takes the threshold as a parameter, exercised across 0.50-0.95 by the D-05b sweep and by tests/test_route.py. NOT TESTED: no test asserts that a threshold above 1.0 escalates every ticket, and no drill has been run. Both are required before deployment.</w:t>
            </w:r>
          </w:p>
        </w:tc>
      </w:tr>
    </w:tbl>
    <w:p>
      <w:pPr>
        <w:spacing w:after="80"/>
      </w:pPr>
    </w:p>
    <w:p>
      <w:pPr>
        <w:spacing w:before="440" w:after="60"/>
        <w:pBdr>
          <w:bottom w:val="single" w:sz="8" w:space="6" w:color="E8660A"/>
        </w:pBdr>
      </w:pPr>
      <w:r>
        <w:rPr>
          <w:b/>
          <w:color w:val="E8660A"/>
          <w:sz w:val="34"/>
        </w:rPr>
        <w:t xml:space="preserve">6   </w:t>
      </w:r>
      <w:r>
        <w:rPr>
          <w:b/>
          <w:color w:val="1A1A2E"/>
          <w:sz w:val="34"/>
        </w:rPr>
        <w:t>The declaration</w:t>
      </w:r>
    </w:p>
    <w:p>
      <w:pPr>
        <w:spacing w:after="140"/>
      </w:pPr>
      <w:r>
        <w:rPr>
          <w:i w:val="0"/>
          <w:sz w:val="21"/>
        </w:rPr>
        <w:t>Complete this last. It is the summary an assessor reads first.</w:t>
      </w:r>
    </w:p>
    <w:tbl>
      <w:tblPr>
        <w:tblW w:type="auto" w:w="0"/>
        <w:jc w:val="center"/>
        <w:tblLayout w:type="fixed"/>
        <w:tblLook w:firstColumn="1" w:firstRow="1" w:lastColumn="0" w:lastRow="0" w:noHBand="0" w:noVBand="1" w:val="04A0"/>
      </w:tblPr>
      <w:tblGrid>
        <w:gridCol w:w="4824"/>
        <w:gridCol w:w="4824"/>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Statement</w:t>
            </w:r>
          </w:p>
        </w:tc>
        <w:tc>
          <w:tcPr>
            <w:tcW w:type="dxa" w:w="63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position</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This system must never ...</w:t>
            </w:r>
          </w:p>
        </w:tc>
        <w:tc>
          <w:tcPr>
            <w:tcW w:type="dxa" w:w="6336"/>
            <w:tcBorders>
              <w:top w:val="single" w:sz="6" w:color="D9D9E0"/>
              <w:left w:val="single" w:sz="6" w:color="D9D9E0"/>
              <w:bottom w:val="single" w:sz="6" w:color="D9D9E0"/>
              <w:right w:val="single" w:sz="6" w:color="D9D9E0"/>
            </w:tcBorders>
          </w:tcPr>
          <w:p>
            <w:pPr>
              <w:spacing w:before="50" w:after="50"/>
            </w:pPr>
            <w:r>
              <w:t>send a customer a claim that no retrieved passage supports, or any private data, without a person having read it.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mechanism that enforces that is ...</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five blocking guardrails on every draft before routing — PII, grounding, instruction integrity, tone and scope, answer relevance — plus a confidence floor. Any block withholds the draft and escalates it; a guardrail that errors fails safe and blocks (A7). Every outcome is written to the decision log with the reason (FR-20).</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The most likely way it could still cause harm is ...</w:t>
            </w:r>
          </w:p>
        </w:tc>
        <w:tc>
          <w:tcPr>
            <w:tcW w:type="dxa" w:w="6336"/>
            <w:tcBorders>
              <w:top w:val="single" w:sz="6" w:color="D9D9E0"/>
              <w:left w:val="single" w:sz="6" w:color="D9D9E0"/>
              <w:bottom w:val="single" w:sz="6" w:color="D9D9E0"/>
              <w:right w:val="single" w:sz="6" w:color="D9D9E0"/>
            </w:tcBorders>
          </w:tcPr>
          <w:p>
            <w:pPr>
              <w:spacing w:before="50" w:after="50"/>
            </w:pPr>
            <w:r>
              <w:t>a fluent, well-grounded-looking reply to a question the documentation cannot answer. Measured on the 15 Sep run: 14 of 32 tickets that should have been held were auto-sent, and the generator declined only 8 of 27 unanswerable tickets (recall 0.30). The guardrails verify the claims in a draft; nothing verifies that the corpus could answer the ticket in the first place. D-05b reached the same conclusion from the other direction: no confidence threshold meets the 0.95 precision floor, because answerability, not confidence, is the binding constraint.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We would not deploy this without first ...</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(1) an answerability check that holds tickets the corpus cannot answer; (2) a completed gate run on the graded free-tier configuration (D-01a); (3) NFR-02 latency inside target — p95 is 30.3s against a 4.0s requirement; (4) a tested kill switch and a rehearsed incident drill; (5) a human groundedness review of at least 50 replies by two assessors, as the Evaluation Framework requires, because the LLM judge failed calibration at Spearman 0.35 and cannot stand in for it.</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Governance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