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Stage Five: Revision Log</w:t>
      </w:r>
    </w:p>
    <w:p>
      <w:pPr>
        <w:spacing w:after="280"/>
        <w:jc w:val="center"/>
        <w:pBdr>
          <w:bottom w:val="single" w:sz="10" w:space="6" w:color="E8660A"/>
        </w:pBdr>
      </w:pPr>
      <w:r>
        <w:rPr>
          <w:color w:val="E8660A"/>
          <w:sz w:val="26"/>
        </w:rPr>
        <w:t>Recording what your requirements got wrong and why</w:t>
      </w:r>
    </w:p>
    <w:p>
      <w:pPr>
        <w:spacing w:after="400"/>
        <w:jc w:val="center"/>
      </w:pPr>
      <w:r>
        <w:rPr>
          <w:i/>
          <w:color w:val="4A4A63"/>
          <w:sz w:val="21"/>
        </w:rPr>
        <w:t>You are required to revise your requirements document at least once during the</w:t>
        <w:br/>
        <w:t>build. This is where you record what changed and what prompted the change.</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WEEK TWO INTO WEEK THREE  ·  COMPULSORY</w:t>
            </w:r>
          </w:p>
        </w:tc>
      </w:tr>
    </w:tbl>
    <w:p>
      <w:r>
        <w:br w:type="page"/>
      </w:r>
    </w:p>
    <w:p>
      <w:pPr>
        <w:spacing w:before="440" w:after="60"/>
        <w:pBdr>
          <w:bottom w:val="single" w:sz="8" w:space="6" w:color="E8660A"/>
        </w:pBdr>
      </w:pPr>
      <w:r>
        <w:rPr>
          <w:b/>
          <w:color w:val="1A1A2E"/>
          <w:sz w:val="34"/>
        </w:rPr>
        <w:t>Why this is compulsory</w:t>
      </w:r>
    </w:p>
    <w:p>
      <w:pPr>
        <w:spacing w:after="140"/>
      </w:pPr>
      <w:r>
        <w:rPr>
          <w:i w:val="0"/>
          <w:sz w:val="21"/>
        </w:rPr>
        <w:t>A requirements document written before any code exists is a set of educated guesses. Some of those guesses will be wrong, and building is how you find out which ones. A student that reaches the end of three weeks with an unchanged PRD has either been extraordinarily lucky or has stopped consulting the document, and the second is far more common than the first.</w:t>
      </w:r>
    </w:p>
    <w:p>
      <w:pPr>
        <w:spacing w:after="140"/>
      </w:pPr>
      <w:r>
        <w:rPr>
          <w:i w:val="0"/>
          <w:sz w:val="21"/>
        </w:rPr>
        <w:t>This log is not a confession. It is evidence that you were paying attention. The students who score well here are the ones who can point to a specific thing they discovered while building, explain how it contradicted an assumption they had written down, and show what they changed as a result.</w:t>
      </w:r>
    </w:p>
    <w:p>
      <w:pPr>
        <w:spacing w:before="200" w:after="60"/>
        <w:jc w:val="center"/>
      </w:pPr>
      <w:r>
        <w:drawing>
          <wp:inline xmlns:a="http://schemas.openxmlformats.org/drawingml/2006/main" xmlns:pic="http://schemas.openxmlformats.org/drawingml/2006/picture">
            <wp:extent cx="6035040" cy="2517289"/>
            <wp:docPr id="1" name="Picture 1"/>
            <wp:cNvGraphicFramePr>
              <a:graphicFrameLocks noChangeAspect="1"/>
            </wp:cNvGraphicFramePr>
            <a:graphic>
              <a:graphicData uri="http://schemas.openxmlformats.org/drawingml/2006/picture">
                <pic:pic>
                  <pic:nvPicPr>
                    <pic:cNvPr id="0" name="prd_revision.png"/>
                    <pic:cNvPicPr/>
                  </pic:nvPicPr>
                  <pic:blipFill>
                    <a:blip r:embed="rId9"/>
                    <a:stretch>
                      <a:fillRect/>
                    </a:stretch>
                  </pic:blipFill>
                  <pic:spPr>
                    <a:xfrm>
                      <a:off x="0" y="0"/>
                      <a:ext cx="6035040" cy="2517289"/>
                    </a:xfrm>
                    <a:prstGeom prst="rect"/>
                  </pic:spPr>
                </pic:pic>
              </a:graphicData>
            </a:graphic>
          </wp:inline>
        </w:drawing>
      </w:r>
    </w:p>
    <w:p>
      <w:pPr>
        <w:spacing w:after="240"/>
        <w:jc w:val="center"/>
      </w:pPr>
      <w:r>
        <w:rPr>
          <w:i/>
          <w:color w:val="4A4A63"/>
          <w:sz w:val="17"/>
        </w:rPr>
        <w:t>Figure 1. The revision sits in the middle of the build, not at the end.</w:t>
      </w: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What a weak revision log looks like</w:t>
            </w:r>
          </w:p>
          <w:p>
            <w:pPr>
              <w:spacing w:after="160"/>
            </w:pPr>
            <w:r>
              <w:rPr>
                <w:color w:val="333344"/>
                <w:sz w:val="20"/>
              </w:rPr>
              <w:t>Vague entries such as tidied up wording or clarified requirements tell an assessor nothing. A strong entry names the requirement, states what it said before, states what it says now, identifies the specific thing that prompted the change, and says who agreed to it.</w:t>
            </w:r>
          </w:p>
        </w:tc>
      </w:tr>
    </w:tbl>
    <w:p>
      <w:pPr>
        <w:spacing w:after="40"/>
      </w:pPr>
    </w:p>
    <w:p>
      <w:r>
        <w:br w:type="page"/>
      </w:r>
    </w:p>
    <w:p>
      <w:pPr>
        <w:spacing w:before="440" w:after="60"/>
        <w:pBdr>
          <w:bottom w:val="single" w:sz="8" w:space="6" w:color="E8660A"/>
        </w:pBdr>
      </w:pPr>
      <w:r>
        <w:rPr>
          <w:b/>
          <w:color w:val="E8660A"/>
          <w:sz w:val="34"/>
        </w:rPr>
        <w:t xml:space="preserve">1   </w:t>
      </w:r>
      <w:r>
        <w:rPr>
          <w:b/>
          <w:color w:val="1A1A2E"/>
          <w:sz w:val="34"/>
        </w:rPr>
        <w:t>Section one: revision summary</w:t>
      </w:r>
    </w:p>
    <w:tbl>
      <w:tblPr>
        <w:tblW w:type="auto" w:w="0"/>
        <w:jc w:val="center"/>
        <w:tblLayout w:type="fixed"/>
        <w:tblLook w:firstColumn="1" w:firstRow="1" w:lastColumn="0" w:lastRow="0" w:noHBand="0" w:noVBand="1" w:val="04A0"/>
      </w:tblPr>
      <w:tblGrid>
        <w:gridCol w:w="4824"/>
        <w:gridCol w:w="4824"/>
      </w:tblGrid>
      <w:tr>
        <w:tc>
          <w:tcPr>
            <w:tcW w:type="dxa" w:w="3456"/>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Field</w:t>
            </w:r>
          </w:p>
        </w:tc>
        <w:tc>
          <w:tcPr>
            <w:tcW w:type="dxa" w:w="6192"/>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Value</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New version number</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2.0 (rolling log — kept in sync with PRD Stage 2 workbook v2. Final counts locked at backlog item B-22, Stage 5 formal review.)</w:t>
            </w:r>
          </w:p>
        </w:tc>
      </w:tr>
      <w:tr>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8"/>
              </w:rPr>
              <w:t>Date of revision</w:t>
            </w:r>
          </w:p>
        </w:tc>
        <w:tc>
          <w:tcPr>
            <w:tcW w:type="dxa" w:w="6192"/>
            <w:tcBorders>
              <w:top w:val="single" w:sz="6" w:color="D9D9E0"/>
              <w:left w:val="single" w:sz="6" w:color="D9D9E0"/>
              <w:bottom w:val="single" w:sz="6" w:color="D9D9E0"/>
              <w:right w:val="single" w:sz="6" w:color="D9D9E0"/>
            </w:tcBorders>
            <w:shd w:val="clear" w:fill="F4F4F7"/>
          </w:tcPr>
          <w:p>
            <w:pPr>
              <w:spacing w:before="50" w:after="50"/>
            </w:pPr>
            <w:r>
              <w:rPr>
                <w:sz w:val="18"/>
              </w:rPr>
              <w:t>2026-08-31 (first entries — Week 2 Day 1). Rolling; expect further rows as B-16, B-21, B-24 land.</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Who carried out the revision</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Alok Kulkarni</w:t>
            </w:r>
          </w:p>
        </w:tc>
      </w:tr>
      <w:tr>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8"/>
              </w:rPr>
              <w:t>Who reviewed and agreed it</w:t>
            </w:r>
          </w:p>
        </w:tc>
        <w:tc>
          <w:tcPr>
            <w:tcW w:type="dxa" w:w="6192"/>
            <w:tcBorders>
              <w:top w:val="single" w:sz="6" w:color="D9D9E0"/>
              <w:left w:val="single" w:sz="6" w:color="D9D9E0"/>
              <w:bottom w:val="single" w:sz="6" w:color="D9D9E0"/>
              <w:right w:val="single" w:sz="6" w:color="D9D9E0"/>
            </w:tcBorders>
            <w:shd w:val="clear" w:fill="F4F4F7"/>
          </w:tcPr>
          <w:p>
            <w:pPr>
              <w:spacing w:before="50" w:after="50"/>
            </w:pPr>
            <w:r>
              <w:rPr>
                <w:sz w:val="18"/>
              </w:rPr>
              <w:t>Self-reviewed (individual project). Stage 5 formal review at backlog item B-22 in Week 3.</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Number of requirements changed</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5 (FR-01 text revised; FR-04 text revised; NFR-01a text revised twice — v2 on 2026-08-31, v3 on 2026-09-02; NFR-05 text revised). Governance Framework decision-log record also extended (logged as row 6 of the change table). Requirement count = 5 revisions to 4 requirements.</w:t>
            </w:r>
          </w:p>
        </w:tc>
      </w:tr>
      <w:tr>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8"/>
              </w:rPr>
              <w:t>Number of requirements added</w:t>
            </w:r>
          </w:p>
        </w:tc>
        <w:tc>
          <w:tcPr>
            <w:tcW w:type="dxa" w:w="6192"/>
            <w:tcBorders>
              <w:top w:val="single" w:sz="6" w:color="D9D9E0"/>
              <w:left w:val="single" w:sz="6" w:color="D9D9E0"/>
              <w:bottom w:val="single" w:sz="6" w:color="D9D9E0"/>
              <w:right w:val="single" w:sz="6" w:color="D9D9E0"/>
            </w:tcBorders>
            <w:shd w:val="clear" w:fill="F4F4F7"/>
          </w:tcPr>
          <w:p>
            <w:pPr>
              <w:spacing w:before="50" w:after="50"/>
            </w:pPr>
            <w:r>
              <w:rPr>
                <w:sz w:val="18"/>
              </w:rPr>
              <w:t>2 (FR-25 added — docs_comment channel handling; PRD Open Q6 added — tier-aware threshold). One column added to the decision-log record (run_id, row 6). One vocabulary widening on the action_taken column (row 7).</w:t>
            </w:r>
          </w:p>
        </w:tc>
      </w:tr>
      <w:tr>
        <w:tc>
          <w:tcPr>
            <w:tcW w:type="dxa" w:w="3456"/>
            <w:tcBorders>
              <w:top w:val="single" w:sz="6" w:color="D9D9E0"/>
              <w:left w:val="single" w:sz="6" w:color="D9D9E0"/>
              <w:bottom w:val="single" w:sz="6" w:color="D9D9E0"/>
              <w:right w:val="single" w:sz="6" w:color="D9D9E0"/>
            </w:tcBorders>
          </w:tcPr>
          <w:p>
            <w:pPr>
              <w:spacing w:before="50" w:after="50"/>
            </w:pPr>
            <w:r>
              <w:rPr>
                <w:sz w:val="18"/>
              </w:rPr>
              <w:t>Number of requirements removed</w:t>
            </w:r>
          </w:p>
        </w:tc>
        <w:tc>
          <w:tcPr>
            <w:tcW w:type="dxa" w:w="6192"/>
            <w:tcBorders>
              <w:top w:val="single" w:sz="6" w:color="D9D9E0"/>
              <w:left w:val="single" w:sz="6" w:color="D9D9E0"/>
              <w:bottom w:val="single" w:sz="6" w:color="D9D9E0"/>
              <w:right w:val="single" w:sz="6" w:color="D9D9E0"/>
            </w:tcBorders>
          </w:tcPr>
          <w:p>
            <w:pPr>
              <w:spacing w:before="50" w:after="50"/>
            </w:pPr>
            <w:r>
              <w:rPr>
                <w:sz w:val="18"/>
              </w:rPr>
              <w:t>1 (FR-25, removed 2026-09-02 after data check disproved its assumption)</w:t>
            </w:r>
          </w:p>
        </w:tc>
      </w:tr>
    </w:tbl>
    <w:p>
      <w:pPr>
        <w:spacing w:after="80"/>
      </w:pPr>
    </w:p>
    <w:p>
      <w:pPr>
        <w:spacing w:before="440" w:after="60"/>
        <w:pBdr>
          <w:bottom w:val="single" w:sz="8" w:space="6" w:color="E8660A"/>
        </w:pBdr>
      </w:pPr>
      <w:r>
        <w:rPr>
          <w:b/>
          <w:color w:val="E8660A"/>
          <w:sz w:val="34"/>
        </w:rPr>
        <w:t xml:space="preserve">2   </w:t>
      </w:r>
      <w:r>
        <w:rPr>
          <w:b/>
          <w:color w:val="1A1A2E"/>
          <w:sz w:val="34"/>
        </w:rPr>
        <w:t>Section two: the changes</w:t>
      </w:r>
    </w:p>
    <w:p>
      <w:pPr>
        <w:spacing w:after="140"/>
      </w:pPr>
      <w:r>
        <w:rPr>
          <w:i w:val="0"/>
          <w:sz w:val="21"/>
        </w:rPr>
        <w:t>One row per change. Be specific about the trigger; that column is what distinguishes a considered revision from a tidying exercise.</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36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Requirement ID</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said in version one</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says now</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prompted the change</w:t>
            </w:r>
          </w:p>
        </w:tc>
        <w:tc>
          <w:tcPr>
            <w:tcW w:type="dxa" w:w="122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Agreed by</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NFR-01a — Retrieval / Context Relevance</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'For tickets flagged answerable_from_docs=true, at least one passage from a doc_id in expected_doc_ids SHALL be present in the top-3 retrieved passages on at least 90% of the validation set (baseline: TF-IDF pilot 93.6%).'</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'...at least 90% of the validation set (aggregate floor) AND at least 75% within each of the 22 intent classes. Documented exception: integration_help may sit below 75% per R-08 (corpus coverage gap — hit@5 = hit@3 = 68.8%). Baselines: TF-IDF 93.6% (Q3 pilot); dense 91.0% (B-07 revisit).'</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Backlog item B-07 (D-02 revisit check) on 2026-08-31 measured dense hit@3 at 91.0% aggregate — clears the 90% floor. But the by-intent breakdown surfaced integration_help as a corpus coverage gap that no retrieval tuning fixes (hit@5 = hit@3 = 68.8%; the correct doc isn't in top-5 for 5 of 16 tickets). Original NFR-01a had no per-intent floor; the aggregate would have hidden this. Adding one with the documented exception makes the fairness commitment inspectable. Evidence: workbooks/d02_findings.md; evaluation/results/d02_dense_retrieval.json.</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NFR-05 — Fairness</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v1 (2026-08-29): 'Answer quality (rubric-scored) SHALL not vary by more than 15 percentage points across language_fluency segments, customer_tier segments, or customer_region segments on the validation set.'</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'...across language_fluency segments or customer_region segments. For customer_tier, the D-05 threshold MAY be tier-differentiated based on measured retrieval quality (B-07 found business-tier hit@3 = 87.0% vs enterprise 94.9%, a 7.9pp gap); however, answer quality within the auto_respond band SHALL NOT vary by more than 10pp across tiers. Retrieval segment measurements SHALL be reported alongside answer-quality measurements.'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Backlog item B-07 by-tier retrieval measurement showed an 7.9pp business-vs-enterprise hit@3 gap on n=182 tickets. Under a uniform confidence threshold, this becomes a downstream answer-quality gap. Original NFR-05 was silent on whether threshold could vary by tier; making it explicit — with the fluency/region ban still in place, and a tighter 10pp intra-tier cap on answer quality — closes the ambiguity. Feeds PRD Open Q6 (added same day) and D-05 sweep at B-16.</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FR-04 — Classification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'The system SHALL classify every ticket with an intent from the closed set of 22 known classes plus \'unknown\', an urgency from {high, medium, low}, and a numeric confidence in [0, 1].' [v1 silent on which raw-ticket fields the classifier receives.]</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(v1 text kept) '...The classifier SHALL receive only the ticket's channel, subject, and body from the ingest step (per FR-01/02/03). Customer segment fields (customer_tier, customer_region, customer_name, language_fluency) SHALL NOT be exposed to the classifier. Tier-aware policy, where used, SHALL be applied downstream in the router (FR-09) and not embedded in classification.'</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Writing PR-CLASSIFY-01 v1.1 (backlog item B-03) surfaced that FR-04 v1 was silent on this. The silence would have meant the fairness design decision (blind classifier plus tier-aware routing) was invisible to the assessor unless they read the prompt file. Making it explicit at PRD level closes the traceability chain. Feeds B-24 (fairness audit) directly.</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FR-25 — Ingest / docs_comment channel handling (NEW)</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v1 (2026-08-29): — (no equivalent FR existed)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'For tickets on docs_comment channel, the ingest step SHALL detect and strip references to the source article (title, doc_id, URL) from Ticket.body before the retrieval query is formed. Stripped content SHALL be preserved in Ticket.warnings for auditability.' Priority: Should.</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EV-DATA-09 (Thursday's channel breakdown): docs_comment channel has the widest fairness gap in the dataset — FCR 34.6% (vs email 44.8%), repeat contact 33.3% (vs 20.8%), median resolution 466 min (vs 193 min). B-07 confirmed docs_comment is also the worst-served channel at retrieval — top-3 hit@3 89.6%. The failure mode is that docs_comment tickets otherwise retrieve on the article the customer was already reading rather than the article that answers their question. This FR was missing from v1 because Thursday's channel analysis wasn't yet in evidence at the time the PRD was drafted. Adding it targets the biggest single fairness gap in the dataset.</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PRD Table 9 Open Q2 (scope revision + resolution)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'Q2: Do the four low-hit intents (onboarding, authentication_failure, integration_help, api_key_issue) need a query-rewriting prompt (PR-RETRIEVE-01) to bring hit@3 above 80% on this subset?'</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'ANSWERED — and rescoped. onboarding: 60.0% dense hit@3 — trigger fires; PR-RETRIEVE-01 written for onboarding only. authentication_failure: 78.6% — above 75% floor; trigger does not fire. api_key_issue: 100% — trigger does not fire. integration_help: 68.8% but hit@5 = hit@3 (corpus coverage gap, not a retrieval gap; not solvable by query rewriting) — logged as R-08, not addressed by PR-RETRIEVE-01.'</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B-07 by-intent breakdown of dense retrieval. Two of the four v1-flagged intents no longer trigger the query-rewrite path (they measured well); one (integration_help) needs a different treatment (documented limitation, not a prompt); one (onboarding) still needs the prompt. Sprint Plan Table 3 B-05 and B-06 both cited Q2 as their gate; rescoping Q2 tightens both.</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Governance Framework §1 minimum record — decision log schema</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v1 (2026-08-29): the decision log record contained exactly the Governance Framework's minimum-record fields — decision_id, timestamp, ticket_id, stage, input_summary, model{name,version}, prediction{value,confidence}, alternatives, sources_used, threshold_applied, action_taken, reason, guardrail_results, prompt_version, requirement_ids.</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added a run_id column, stamped once per harness invocation via set_run_id(new_run_id('harness')). Reconciliation now scopes to a run_id rather than counting every row the file has ever held. Additive extension of the pack's minimum record; no prescribed field removed. Migration path for pre-Bug-2 databases marks historical rows with run_id='legacy'.</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Discovered during code review 2026-08-31: pre-fix reconcile() ran an unscoped GROUP BY ticket_id, so a fresh harness invocation against a persistent decisions.db (the grading condition) would count every dev + validation ticket the author had processed as extra_in_log and fail A8 on arrival. Fixed in src/logging_store.py (commit); 11 new tests in tests/test_logging_store.py.</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Governance Framework §1 — action_taken vocabulary</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action_taken values 'auto_respond | escalate | block' per the Governance Framework's minimum-record example. Silent on whether stage != 'routing' also uses this vocabulary.</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(2026-08-31): action_taken carries either a routing outcome (auto_respond | escalate | block, at stage='routing') OR a stage outcome (classified | fallback at stage='classification'; retrieved | empty at 'retrieval'; generated | blocked at 'generation' or 'validation'). Distinguished by the stage column. Single-column, per-stage vocabulary — described as Option A in the code-review deliberation.</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FR-20 asks for one row per autonomous decision; stage='classification' rows have to say what happened at classification, but the pack's example values only cover routing. Two other options were considered and rejected: (Option B) split into stage_outcome + action_taken columns — over-engineering for the auditability actually needed; (Option C) log only at routing, folding classify into the routing row — loses per-stage decision auditability that FR-20 arguably wants. Documented in src/logging_store.py schema comment and in docs/architecture.md Decision-log section (this commit).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NFR-01a — Retrieval / Context Relevance (v3, 2026-09-02)</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'...at least 90% of the validation set (aggregate floor) AND at least 75% within each of the 22 intent classes. Documented exception: integration_help may sit below 75%... Baselines: TF-IDF 93.6% (Q3 pilot); dense 91.0% (B-07 revisit).'</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v3 (2026-09-02): 'aggregate floor 90% at hit@3 AND at least 90% within each of the 22 intent classes AT HIT@5. Exception: integration_help (R-08 corpus gap, 5 of 16 tickets have no covering article at any rank). Rationale for hit@5 floor rather than hit@3: D-06's Self-RAG groundedness retry reconsiders the top-5 on the second attempt. New baselines: dense hit@3 95.2% with title-prepending per B-30.'</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B-30 measurement 2026-09-02 (workbooks/b30_findings.md; evaluation/results/d02_dense_retrieval.json overwritten). Title-prepending in src/index_docs.py improved dense hit@3 91.0% -&gt; 95.2% and, more usefully, revealed that every intent except integration_help now hits 100% at hit@5. The old 75% hit@3 rule needed exceptions for deployment_failure (0.737) and was awkward on authentication_failure (0.786) — both clear when we shift the floor to hit@5. Cleaner story, fewer exceptions, better numbers.</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t>FR-25 (REMOVED)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 (2026-08-31): 'For tickets on docs_comment channel, the ingest step SHALL detect and strip references to the source article (article title, doc_id, URL) from Ticket.body before the retrieval query is formed. Stripped content SHALL be preserved in Ticket.warnings for auditability.' Priority: SHOULD.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v2.2 (2026-09-02): REMOVED. Not superseded, not folded in — cut outright. The FR is withdrawn from the PRD. The docs_comment channel's FCR gap is still real and remains a known limitation to be reported in the B-24 fairness audit, but the specific mitigation FR-25 named is not the right one for this dataset.</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t>Data Fidelity check on 2026-09-02 during B-28 (src/ingest.py) implementation. Sampled all 78 docs_comment tickets in data/development_tickets.json for the reference patterns FR-25 assumed: URL patterns (0/78), DOC-XXX-NNN identifiers (0/78), 'docs.cloudserve' hostnames (0/78), '/docs/' path fragments (0/78), and vocabulary like 'article', 'guide', 'documentation' (0/78). Five sampled tickets read as normal support questions with no explicit article reference. My Monday-night reasoning for FR-25 was based on inferring from EV-I2 (Ines's search-doesn't-work story) that customers would mention what they were reading. The data disproves that. Root cause of the docs_comment fairness gap is likely selection bias (these are self-serve-then-failed customers), not confusable body references. This is the Data Fidelity discipline catching its own error — an FR was written on a plausible assumption without a data check, and the data check comes at implementation time. Recording the removal honestly is what the pack's revision log exists for.</w:t>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FR-01 — Ingest / four-channel normalisation</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v1 (2026-08-29): '...produce one normalised Ticket object preserving `channel`, `body`, `received_at`, all customer segment fields and all `labels.*` fields.'</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v2 (2026-09-03): '...preserving `channel`, `body`, `received_at` and all customer segment fields. Evaluation-only fields (`labels.*`, `history.*`) SHALL NOT be carried on the Ticket; the evaluation harness reads them directly from the raw record.'</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Code review of B-28 (src/ingest.py) on 2026-09-03. The implementation deliberately drops labels.* and history.*, per capstone-component-impl's anti-pattern 'reading the ticket labels during production' — production code must never see ground truth it will not have at inference. FR-01 v1 required the opposite, so the module docstring claimed to satisfy a requirement whose text it contradicted. Verified no breakage: evaluation/d02_retrieval_check.py and evaluation/q3_pilot_script.py already read labels straight from the raw JSON, never off a Ticket, and the Ticket schema never had a labels field. Impact: B-19 (harness) must keep reading ground truth from the raw record; FR-01's acceptance criteria (A2) are unaffected.</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t>NFR-01a — Retrieval / Context Relevance (evidence base corrected, 2026-09-03)</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v3 (2026-09-02): floors unchanged — 'aggregate floor 90% at hit@3 AND at least 90% within each of the 22 intent classes'. Evidence was B-30, measured with store.similarity_search(body, k=15): no relevance scores, no threshold.</w:t>
            </w:r>
          </w:p>
        </w:tc>
        <w:tc>
          <w:tcPr>
            <w:tcW w:type="dxa" w:w="2304"/>
            <w:tcBorders>
              <w:top w:val="single" w:sz="6" w:color="D9D9E0"/>
              <w:left w:val="single" w:sz="6" w:color="D9D9E0"/>
              <w:bottom w:val="single" w:sz="6" w:color="D9D9E0"/>
              <w:right w:val="single" w:sz="6" w:color="D9D9E0"/>
            </w:tcBorders>
          </w:tcPr>
          <w:p>
            <w:pPr>
              <w:spacing w:before="50" w:after="50"/>
            </w:pPr>
            <w:r>
              <w:rPr>
                <w:sz w:val="15"/>
              </w:rPr>
              <w:t>v3 text UNCHANGED. What changed is the evidence: the floors are now measured through src/retrieve.py itself — the production path, including the relevance threshold. Aggregate hit@3 = 94.1% at the D-02a threshold of 0.25. The per-class floor is NOT met: 15 of 20 answerable intent classes clear 90%; onboarding (80%), integration_help, deployment_failure, api_key_issue and webhook_issue do not. That gap is ranking quality, not thresholding — it is identical with no threshold at all — and is B-05's territory.</w:t>
            </w:r>
          </w:p>
        </w:tc>
        <w:tc>
          <w:tcPr>
            <w:tcW w:type="dxa" w:w="2448"/>
            <w:tcBorders>
              <w:top w:val="single" w:sz="6" w:color="D9D9E0"/>
              <w:left w:val="single" w:sz="6" w:color="D9D9E0"/>
              <w:bottom w:val="single" w:sz="6" w:color="D9D9E0"/>
              <w:right w:val="single" w:sz="6" w:color="D9D9E0"/>
            </w:tcBorders>
          </w:tcPr>
          <w:p>
            <w:pPr>
              <w:spacing w:before="50" w:after="50"/>
            </w:pPr>
            <w:r>
              <w:rPr>
                <w:sz w:val="15"/>
              </w:rPr>
              <w:t>Code review of B-06 (src/retrieve.py) on 2026-09-03 measured hit@3 through retrieve() for the first time and found 52.4%, not the 94.1% B-30 reported. Cause: the Chroma collection carried no hnsw:space, so LangChain scored with 1.0 - distance/sqrt(2) on un-normalised MiniLM vectors, producing scores from -0.094 to 0.650; the uncalibrated 0.35 floor then cut 42% of correct answers and left 151 of 357 answerable tickets with zero passages. Fixed in D-02a (cosine space, threshold 0.25 by measurement). The lesson recorded here is the evidence gap: NFR-01a's floors had been validated on a code path production did not use, so a 38-point shortfall was invisible until B-21 would have surfaced it.</w:t>
            </w:r>
          </w:p>
        </w:tc>
        <w:tc>
          <w:tcPr>
            <w:tcW w:type="dxa" w:w="1224"/>
            <w:tcBorders>
              <w:top w:val="single" w:sz="6" w:color="D9D9E0"/>
              <w:left w:val="single" w:sz="6" w:color="D9D9E0"/>
              <w:bottom w:val="single" w:sz="6" w:color="D9D9E0"/>
              <w:right w:val="single" w:sz="6" w:color="D9D9E0"/>
            </w:tcBorders>
          </w:tcPr>
          <w:p>
            <w:pPr>
              <w:spacing w:before="50" w:after="50"/>
            </w:pPr>
            <w:r>
              <w:rPr>
                <w:sz w:val="15"/>
              </w:rPr>
              <w:t>Alok Kulkarni</w:t>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Section three: assumptions that turned out to be wrong</w:t>
      </w:r>
    </w:p>
    <w:p>
      <w:pPr>
        <w:spacing w:after="140"/>
      </w:pPr>
      <w:r>
        <w:rPr>
          <w:i w:val="0"/>
          <w:sz w:val="21"/>
        </w:rPr>
        <w:t>Go back to the assumptions section of your version one PRD. For each assumption, say whether it held. The ones that did not are the most interesting part of your report.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Assumption from version one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Did it hold?</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found instead</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changed because of it</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A-01 (PRD v1 Table 7 row 1): 'The 22 intent classes in labels.intent form a stable closed set: the hidden 120-ticket set uses the same labels.'</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Held so far. Not yet tested against hidden set (post-submission only).</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Verified in dev-set: `Counter(t['labels']['intent'] for t in tickets)` returns exactly 22 distinct names (see docs/intent_classes.md v1.1 provenance table).</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change to requirements. Meta-work: operational definitions of the 22 codes (intent_classes.md) are our synthesis, not the pack's — this was made explicit in v1.1 of that file after the discovery.</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A-02 (Table 7 row 2): '29-article corpus is stable during the assessment window.'</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Held. No changes observed to documentation.json between 2026-08-26 and today.</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Content unchanged. Chroma index built Sun 30 Aug remains valid.</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No requirement change. Freshness NFR not needed.</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A-03 (Table 7 row 3): 'OpenRouter free tier remains available for Llama 3.1 8B during grading.'</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Held as of 2026-08-31. Re-check just before submission per the assumption's own verification method.</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Available and returning 200s in the environment tests we've run.</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requirement change now. NFR-08 (cost) still trusts A-03; if A-03 breaks in Week 3 grading, A11 (graceful degradation) handles it.</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A-04 (Table 7 row 4): 'The Q3 pilot's TF-IDF baseline (hit@3 = 93.6%) is representative of what the pack's default embedder will achieve on this corpus.'</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PARTIALLY WRONG. Dense hit@3 measured at 91.0% — within 3pp but 2.6pp lower on top-3. On top-1 dense is higher (+2.6pp). On top-5 dense is higher (+1.2pp). So the two are within measurement noise on aggregate, and dense wins on the fairness axis (non-fluent English 0.908 vs fluent 0.911 — a 0.3pp gap).</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The two retrieval methods are not simply substitutable at a fixed cost. Dense buys us fairness on non-fluent English; TF-IDF buys us 2.6pp on the top-3 aggregate. The 'representative' assumption implied a scalar comparison; the reality is a multi-dimensional trade-off. See workbooks/d02_findings.md.</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NFR-01a was rewritten to state the aggregate floor (90%) and per-intent floor (75%) as measurable targets, rather than framing them relative to a baseline that turned out to be one option in a trade-off. D-02 was verified in place (no supersession); D-02 ADR gained a 'Revisit outcome' section that documents the trade-off honestly.</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t>A-05 (Table 7 row 5): 'The reference responses in ground_truth_responses.json are correct.'</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Not yet tested. Scheduled: sample 20 responses and hand-check during Week 2 (implicit in judge calibration, B-18).</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N/A yet.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No requirement change now. B-18 (judge calibration on 50 hand-scored triples) is where this gets tested. If A-05 breaks there, NFR-01b (groundedness) baseline is skewed and gets revised.</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A-06 (Table 7 row 6): 'The hidden set has 120 tickets (per README + Dataset Guide + Project Brief), not 100 (per Project Instructions, Start Here, Evaluation Framework, Build Spec 08).'</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Not yet resolved. Assessment-team query is still open (Open Q3 in PRD Table 9).</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N/A. Query outstanding.</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No requirement change. Harness accepts an input path (A9); the number doesn't affect correctness. Rate-limit / wall-clock budget for the grading run may need adjustment; not blocking.</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t>A-07 (Table 7 row 7): 'Marcus's estimate that escalations cost about 4x a resolved ticket is broadly accurate.'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Not yet tested. Requires time-tracked runs in Week 2 pilot.</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N/A yet.</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No requirement change now. If A-07 breaks in Week 2, the Stage 1 Table 7 effort-vs-volume ranking shifts and the automation-ROI numbers in the report (Stage 6 section 5, business outcomes) need recalibration.</w:t>
            </w:r>
          </w:p>
        </w:tc>
      </w:tr>
    </w:tbl>
    <w:p>
      <w:pPr>
        <w:spacing w:after="80"/>
      </w:pPr>
    </w:p>
    <w:p>
      <w:pPr>
        <w:spacing w:before="440" w:after="60"/>
        <w:pBdr>
          <w:bottom w:val="single" w:sz="8" w:space="6" w:color="E8660A"/>
        </w:pBdr>
      </w:pPr>
      <w:r>
        <w:rPr>
          <w:b/>
          <w:color w:val="E8660A"/>
          <w:sz w:val="34"/>
        </w:rPr>
        <w:t xml:space="preserve">4   </w:t>
      </w:r>
      <w:r>
        <w:rPr>
          <w:b/>
          <w:color w:val="1A1A2E"/>
          <w:sz w:val="34"/>
        </w:rPr>
        <w:t>Section four: what you decided not to change</w:t>
      </w:r>
    </w:p>
    <w:p>
      <w:pPr>
        <w:spacing w:after="140"/>
      </w:pPr>
      <w:r>
        <w:rPr>
          <w:i w:val="0"/>
          <w:sz w:val="21"/>
        </w:rPr>
        <w:t>Some things will look wrong during the build and turn out to be right, or right but not worth the cost of changing. Recording those decisions is as valuable as recording the changes.</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looked wrong</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you left it</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it would have cost to change</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Revisit when?</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D-02 back-pocket: swapping MiniLM-L6-v2 for BGE-small-en-v1.5</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2.6pp top-3 gap under TF-IDF is small; the fairness parity on non-fluent English is what matters most and MiniLM already delivers that. BGE benchmarks don't cleanly document a fairness axis, so switching would trade a certain gain (fairness confirmed on this corpus) for a hoped-for gain (2.6pp on top-3) on a different axis. Under the safe-direction principle, the current failure mode is 'escalate to human' — no wrong answers reach customers.</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~2h: re-download the BGE model, re-run index_docs on the corpus, re-run d02_retrieval_check.py, re-check the fairness breakdown, update D-02 ADR and docs/architecture.md.</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If backlog item B-21 (Week 2 gate, Fri 4 Sep) shows retrieval as the dominant failure mode with dense retrieval — or if the per-intent floor in NFR-01a v2 is violated on more than one intent — evaluate BGE-small at that point as a D-02b ADR.</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Hybrid dense + sparse retrieval (fusion of MiniLM and BM25)</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Fusion approaches typically recover the 2.6pp top-3 gap and often more, but add a dependency (rank_bm25 or similar), a second retrieval index, and fusion tuning. The gap is small enough that the downstream Self-RAG groundedness check (D-06) catches drafts that miss on top-3, and the router escalates them. Adding a fusion layer in Week 2 is scope creep for a marginal metric win.</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~4h: add BM25 dependency, build the sparse index alongside Chroma, write the fusion combiner, tune the alpha weight, re-measure. Also new failure modes: which index does src/retrieve.py fall back to when one fails?</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6"/>
              </w:rPr>
              <w:t>If NFR-01a v2's aggregate 90% floor is violated on the validation set at backlog item B-21, OR if the per-intent floor is violated on more than one intent (not counting integration_help which has its documented exception).</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Section-aware chunking (as an alternative to fixed 800/120)</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Q3 pilot (workbooks/q3_findings.md) measured fixed 800/120 at hit@3 = 93.6% vs section-aware at 92.4% — fixed already wins by 1.2pp, and section-aware produces 145 chunks vs 58 for fixed, adding retrieval noise. Simpler code, better numbers. No case for switching yet.</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Small — one-line change in src/index_docs.py plus re-index. But the D-04 final ADR (backlog item B-08) will formalise the decision this week.</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If B-08 measurement (against dev set, dense retriever) shows section-aware beating fixed by more than 2pp on hit@3 or on any per-intent floor. That's the trigger written into D-04's revisit criteria.</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Bug 3 — prompt version parsing: '1.10' silently coerces to '1.1'</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Latent, not currently observed. PR-CLASSIFY-01 is at v1.2; every other prompt on file is at v1.0 or v1.1. Reaching v1.10 needs 8 further revisions to the same prompt, which is implausible before the 13 September submission. Fix (drop the numeric coercion in src/prompt_loader.py::_parse_frontmatter) is trivial but adds test surface — cheaper to close alongside the next prompt work.</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5 minutes — drop one try/except from the frontmatter parser, add a regression test on the v1.10 case.</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6"/>
              </w:rPr>
              <w:t>If any prompt reaches v1.9. Or before B-22 (Stage 5 formal review) as a rubber-stamp cleanup pass.</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Bug 4 — sequential placeholder substitution in prompt_loader.render_user</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subject field of a ticket that literally contains the string '{{body}}' would have that placeholder filled by the later body replacement pass. Content stays inside &lt;&lt;TICKET_START&gt;&gt; / &lt;&lt;TICKET_END&gt;&gt; markers, the system prompt tells the model to treat everything between those markers as data, and downstream guardrails (FR-17 grounding, FR-18 instruction integrity) block anything the model would misinterpret. Deferred because the practical exploit surface is small and B-20 injection tests can escalate the priority if a real bypass shows up.</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5 minutes — replace the sequential .replace() loop with one re.sub callback pass.</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If B-20 (pytest injection tests) surfaces a bypass that traces back to placeholder rewriting; or during B-22 as spec-vs-code cleanup.</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metrics.py wire-up gap — CONFIDENCE.observe() from classify + model_version population</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src/metrics.py declares Prometheus counters and histograms but src/classify.py never calls CONFIDENCE.observe(result.confidence). Similarly the decision log's model_version column is declared and never populated. FR-22 (metrics for calibration monitoring) is therefore partially unmet at present. Deferred because src/generate.py (B-11) and src/route.py (B-15) both need the same wire-up; closing them together is one context switch rather than three.</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15 minutes at B-11 or B-15 — add one CONFIDENCE.observe() call per stage, populate model_version from the OpenRouter response metadata in _openrouter_call.</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Do this AT B-11 or B-15, whichever is written first. Do not ship to B-21 (Week 2 gate) without it — FR-22 gets checked there.</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Spec-vs-code mismatches 1 &amp; 2 in PR-CLASSIFY-01 output schema</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prompt spec says (a) missing/extra fields must fall back to unknown and (b) alternatives is capped 0-2 items. Our code accepts missing reasoning + missing alternatives with defaults, ignores extra fields, and does not enforce the length cap. This is Postel's law applied to a component we do not control — being liberal in what we accept from the LLM is the more robust design. But the spec-vs-code divergence is real and needs reconciliation.</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10 minutes total — either amend PR-CLASSIFY-01.md to mark these fields advisory (recommended), or tighten src/classify.py::_parse_response to raise on any deviation. Requires a design decision, not just code work.</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B-22 (Stage 5 formal review, Tuesday of Week 3) is the natural home — that is the compulsory revision cycle and this is a documentation revision. Deciding earlier is fine but not required.</w:t>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t>Determinism test scope (tests/test_classify.py::test_same_input_same_seed_same_output)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The current test asserts that a constant-returning stub returns a constant — verifies the stub, not the system. The real A5 concern is that OpenRouter free-tier providers frequently ignore the seed parameter for llama-3.1-8b-instruct and some reject response_format={"type":"json_object"} outright. Neither is checkable without a live model call, and a live call belongs in a smoke script (not the pytest suite that runs offline).</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15 minutes at B-21 prep — rename the current test to make its scope honest, add scripts/live_classify_smoke.py that hits OpenRouter twice with the same ticket and asserts identical output plus valid JSON. Run it once before the Friday validation set run.</w:t>
            </w:r>
          </w:p>
        </w:tc>
        <w:tc>
          <w:tcPr>
            <w:tcW w:type="dxa" w:w="1584"/>
            <w:tcBorders>
              <w:top w:val="single" w:sz="6" w:color="D9D9E0"/>
              <w:left w:val="single" w:sz="6" w:color="D9D9E0"/>
              <w:bottom w:val="single" w:sz="6" w:color="D9D9E0"/>
              <w:right w:val="single" w:sz="6" w:color="D9D9E0"/>
            </w:tcBorders>
          </w:tcPr>
          <w:p>
            <w:pPr>
              <w:spacing w:before="50" w:after="50"/>
            </w:pPr>
            <w:r>
              <w:rPr>
                <w:sz w:val="16"/>
              </w:rPr>
              <w:t>Friday morning (B-21 prep). If the smoke script surfaces a seed-ignored problem, that becomes an ADR to record before submission.</w:t>
            </w:r>
          </w:p>
        </w:tc>
      </w:tr>
    </w:tbl>
    <w:p>
      <w:pPr>
        <w:spacing w:after="80"/>
      </w:pPr>
    </w:p>
    <w:p>
      <w:pPr>
        <w:spacing w:before="440" w:after="60"/>
        <w:pBdr>
          <w:bottom w:val="single" w:sz="8" w:space="6" w:color="E8660A"/>
        </w:pBdr>
      </w:pPr>
      <w:r>
        <w:rPr>
          <w:b/>
          <w:color w:val="E8660A"/>
          <w:sz w:val="34"/>
        </w:rPr>
        <w:t xml:space="preserve">5   </w:t>
      </w:r>
      <w:r>
        <w:rPr>
          <w:b/>
          <w:color w:val="1A1A2E"/>
          <w:sz w:val="34"/>
        </w:rPr>
        <w:t>Section five: the reflection</w:t>
      </w:r>
    </w:p>
    <w:p>
      <w:pPr>
        <w:spacing w:after="140"/>
      </w:pPr>
      <w:r>
        <w:rPr>
          <w:i w:val="0"/>
          <w:sz w:val="21"/>
        </w:rPr>
        <w:t>Answer these in full sentences. They form the basis of a section in your final report and they are frequently the part of a submission that an assessor remembers.</w:t>
      </w:r>
    </w:p>
    <w:tbl>
      <w:tblPr>
        <w:tblW w:type="auto" w:w="0"/>
        <w:jc w:val="center"/>
        <w:tblLayout w:type="fixed"/>
        <w:tblLook w:firstColumn="1" w:firstRow="1" w:lastColumn="0" w:lastRow="0" w:noHBand="0" w:noVBand="1" w:val="04A0"/>
      </w:tblPr>
      <w:tblGrid>
        <w:gridCol w:w="4824"/>
        <w:gridCol w:w="4824"/>
      </w:tblGrid>
      <w:tr>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604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answer</w:t>
            </w:r>
          </w:p>
        </w:tc>
      </w:tr>
      <w:tr>
        <w:tc>
          <w:tcPr>
            <w:tcW w:type="dxa" w:w="3600"/>
            <w:tcBorders>
              <w:top w:val="single" w:sz="6" w:color="D9D9E0"/>
              <w:left w:val="single" w:sz="6" w:color="D9D9E0"/>
              <w:bottom w:val="single" w:sz="6" w:color="D9D9E0"/>
              <w:right w:val="single" w:sz="6" w:color="D9D9E0"/>
            </w:tcBorders>
          </w:tcPr>
          <w:p>
            <w:pPr>
              <w:spacing w:before="50" w:after="50"/>
            </w:pPr>
            <w:r>
              <w:rPr>
                <w:sz w:val="17"/>
              </w:rPr>
              <w:t>What did you most misunderstand about the problem when you wrote version one?</w:t>
            </w:r>
          </w:p>
        </w:tc>
        <w:tc>
          <w:tcPr>
            <w:tcW w:type="dxa" w:w="6048"/>
            <w:tcBorders>
              <w:top w:val="single" w:sz="6" w:color="D9D9E0"/>
              <w:left w:val="single" w:sz="6" w:color="D9D9E0"/>
              <w:bottom w:val="single" w:sz="6" w:color="D9D9E0"/>
              <w:right w:val="single" w:sz="6" w:color="D9D9E0"/>
            </w:tcBorders>
          </w:tcPr>
          <w:p>
            <w:pPr>
              <w:spacing w:before="50" w:after="50"/>
            </w:pPr>
            <w:r>
              <w:rPr>
                <w:sz w:val="17"/>
              </w:rPr>
            </w:r>
          </w:p>
        </w:tc>
      </w:tr>
      <w:tr>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7"/>
              </w:rPr>
              <w:t>Which piece of discovery work would have caught it earlier?</w:t>
            </w:r>
          </w:p>
        </w:tc>
        <w:tc>
          <w:tcPr>
            <w:tcW w:type="dxa" w:w="6048"/>
            <w:tcBorders>
              <w:top w:val="single" w:sz="6" w:color="D9D9E0"/>
              <w:left w:val="single" w:sz="6" w:color="D9D9E0"/>
              <w:bottom w:val="single" w:sz="6" w:color="D9D9E0"/>
              <w:right w:val="single" w:sz="6" w:color="D9D9E0"/>
            </w:tcBorders>
            <w:shd w:val="clear" w:fill="F4F4F7"/>
          </w:tcPr>
          <w:p>
            <w:pPr>
              <w:spacing w:before="50" w:after="50"/>
            </w:pPr>
            <w:r>
              <w:rPr>
                <w:sz w:val="17"/>
              </w:rPr>
            </w:r>
          </w:p>
        </w:tc>
      </w:tr>
      <w:tr>
        <w:tc>
          <w:tcPr>
            <w:tcW w:type="dxa" w:w="3600"/>
            <w:tcBorders>
              <w:top w:val="single" w:sz="6" w:color="D9D9E0"/>
              <w:left w:val="single" w:sz="6" w:color="D9D9E0"/>
              <w:bottom w:val="single" w:sz="6" w:color="D9D9E0"/>
              <w:right w:val="single" w:sz="6" w:color="D9D9E0"/>
            </w:tcBorders>
          </w:tcPr>
          <w:p>
            <w:pPr>
              <w:spacing w:before="50" w:after="50"/>
            </w:pPr>
            <w:r>
              <w:rPr>
                <w:sz w:val="17"/>
              </w:rPr>
              <w:t>What would you do differently if you started this project again on Monday?</w:t>
            </w:r>
          </w:p>
        </w:tc>
        <w:tc>
          <w:tcPr>
            <w:tcW w:type="dxa" w:w="6048"/>
            <w:tcBorders>
              <w:top w:val="single" w:sz="6" w:color="D9D9E0"/>
              <w:left w:val="single" w:sz="6" w:color="D9D9E0"/>
              <w:bottom w:val="single" w:sz="6" w:color="D9D9E0"/>
              <w:right w:val="single" w:sz="6" w:color="D9D9E0"/>
            </w:tcBorders>
          </w:tcPr>
          <w:p>
            <w:pPr>
              <w:spacing w:before="50" w:after="50"/>
            </w:pPr>
            <w:r>
              <w:rPr>
                <w:sz w:val="17"/>
              </w:rPr>
            </w:r>
          </w:p>
        </w:tc>
      </w:tr>
      <w:tr>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7"/>
              </w:rPr>
              <w:t>What is still uncertain, and what would you need to resolve it?</w:t>
            </w:r>
          </w:p>
        </w:tc>
        <w:tc>
          <w:tcPr>
            <w:tcW w:type="dxa" w:w="6048"/>
            <w:tcBorders>
              <w:top w:val="single" w:sz="6" w:color="D9D9E0"/>
              <w:left w:val="single" w:sz="6" w:color="D9D9E0"/>
              <w:bottom w:val="single" w:sz="6" w:color="D9D9E0"/>
              <w:right w:val="single" w:sz="6" w:color="D9D9E0"/>
            </w:tcBorders>
            <w:shd w:val="clear" w:fill="F4F4F7"/>
          </w:tcPr>
          <w:p>
            <w:pPr>
              <w:spacing w:before="50" w:after="50"/>
            </w:pPr>
            <w:r>
              <w:rPr>
                <w:sz w:val="17"/>
              </w:rPr>
            </w:r>
          </w:p>
        </w:tc>
      </w:tr>
    </w:tbl>
    <w:p>
      <w:pPr>
        <w:spacing w:after="8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Stage Five  ·  Requirements Revision Log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