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Effort Log</w:t>
      </w:r>
    </w:p>
    <w:p>
      <w:pPr>
        <w:spacing w:after="280"/>
        <w:jc w:val="center"/>
        <w:pBdr>
          <w:bottom w:val="single" w:sz="10" w:space="6" w:color="E8660A"/>
        </w:pBdr>
      </w:pPr>
      <w:r>
        <w:rPr>
          <w:color w:val="E8660A"/>
          <w:sz w:val="26"/>
        </w:rPr>
        <w:t>What you worked on, and how long it took</w:t>
      </w:r>
    </w:p>
    <w:p>
      <w:pPr>
        <w:spacing w:after="400"/>
        <w:jc w:val="center"/>
      </w:pPr>
      <w:r>
        <w:rPr>
          <w:i/>
          <w:color w:val="4A4A63"/>
          <w:sz w:val="21"/>
        </w:rPr>
        <w:t>Fill this in as you go. A log written from memory at the end of the project is</w:t>
        <w:br/>
        <w:t>both inaccurate and obvious, and it is marked as such.</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FILL IN EVERY SECOND DAY</w:t>
            </w:r>
          </w:p>
        </w:tc>
      </w:tr>
    </w:tbl>
    <w:p>
      <w:r>
        <w:br w:type="page"/>
      </w:r>
    </w:p>
    <w:p>
      <w:pPr>
        <w:spacing w:before="440" w:after="60"/>
        <w:pBdr>
          <w:bottom w:val="single" w:sz="8" w:space="6" w:color="E8660A"/>
        </w:pBdr>
      </w:pPr>
      <w:r>
        <w:rPr>
          <w:b/>
          <w:color w:val="1A1A2E"/>
          <w:sz w:val="34"/>
        </w:rPr>
        <w:t>Why you are keeping this</w:t>
      </w:r>
    </w:p>
    <w:p>
      <w:pPr>
        <w:spacing w:after="140"/>
      </w:pPr>
      <w:r>
        <w:rPr>
          <w:i w:val="0"/>
          <w:sz w:val="21"/>
        </w:rPr>
        <w:t>Two reasons, and neither of them is surveillance. The first is that estimating your own work is a professional skill you will be asked to exercise constantly, and the only way to get better at it is to compare what you predicted against what actually happened. The second is that the reflection section of your report needs material, and a log that shows discovery took half the time you expected while evaluation took twice as long gives you something genuinely worth writing about.</w:t>
      </w:r>
    </w:p>
    <w:p>
      <w:pPr>
        <w:spacing w:after="140"/>
      </w:pPr>
      <w:r>
        <w:rPr>
          <w:i w:val="0"/>
          <w:sz w:val="21"/>
        </w:rPr>
        <w:t>Record entries at the level of individual tasks rather than summaries, at least every second day. Record the hours you actually worked, including the ones that produced nothing useful. A task that took four hours and ended in a dead end is a real cost and belongs here.</w:t>
      </w:r>
    </w:p>
    <w:p>
      <w:pPr>
        <w:spacing w:before="200" w:after="60"/>
        <w:jc w:val="center"/>
      </w:pPr>
      <w:r>
        <w:drawing>
          <wp:inline xmlns:a="http://schemas.openxmlformats.org/drawingml/2006/main" xmlns:pic="http://schemas.openxmlformats.org/drawingml/2006/picture">
            <wp:extent cx="5303520" cy="2955060"/>
            <wp:docPr id="1" name="Picture 1"/>
            <wp:cNvGraphicFramePr>
              <a:graphicFrameLocks noChangeAspect="1"/>
            </wp:cNvGraphicFramePr>
            <a:graphic>
              <a:graphicData uri="http://schemas.openxmlformats.org/drawingml/2006/picture">
                <pic:pic>
                  <pic:nvPicPr>
                    <pic:cNvPr id="0" name="hours_model.png"/>
                    <pic:cNvPicPr/>
                  </pic:nvPicPr>
                  <pic:blipFill>
                    <a:blip r:embed="rId9"/>
                    <a:stretch>
                      <a:fillRect/>
                    </a:stretch>
                  </pic:blipFill>
                  <pic:spPr>
                    <a:xfrm>
                      <a:off x="0" y="0"/>
                      <a:ext cx="5303520" cy="2955060"/>
                    </a:xfrm>
                    <a:prstGeom prst="rect"/>
                  </pic:spPr>
                </pic:pic>
              </a:graphicData>
            </a:graphic>
          </wp:inline>
        </w:drawing>
      </w:r>
    </w:p>
    <w:p>
      <w:pPr>
        <w:spacing w:after="240"/>
        <w:jc w:val="center"/>
      </w:pPr>
      <w:r>
        <w:rPr>
          <w:i/>
          <w:color w:val="4A4A63"/>
          <w:sz w:val="17"/>
        </w:rPr>
        <w:t>Figure 1. Roughly how the hours are expected to distribute. Compare yours against this at the end of each week.</w:t>
      </w:r>
    </w:p>
    <w:p>
      <w:pPr>
        <w:spacing w:before="440" w:after="60"/>
        <w:pBdr>
          <w:bottom w:val="single" w:sz="8" w:space="6" w:color="E8660A"/>
        </w:pBdr>
      </w:pPr>
      <w:r>
        <w:rPr>
          <w:b/>
          <w:color w:val="E8660A"/>
          <w:sz w:val="34"/>
        </w:rPr>
        <w:t xml:space="preserve">1   </w:t>
      </w:r>
      <w:r>
        <w:rPr>
          <w:b/>
          <w:color w:val="1A1A2E"/>
          <w:sz w:val="34"/>
        </w:rPr>
        <w:t>Your details</w:t>
      </w:r>
    </w:p>
    <w:tbl>
      <w:tblPr>
        <w:tblW w:type="auto" w:w="0"/>
        <w:jc w:val="center"/>
        <w:tblLayout w:type="fixed"/>
        <w:tblLook w:firstColumn="1" w:firstRow="1" w:lastColumn="0" w:lastRow="0" w:noHBand="0" w:noVBand="1" w:val="04A0"/>
      </w:tblPr>
      <w:tblGrid>
        <w:gridCol w:w="4824"/>
        <w:gridCol w:w="4824"/>
      </w:tblGrid>
      <w:tr>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Full name</w:t>
            </w:r>
          </w:p>
        </w:tc>
        <w:tc>
          <w:tcPr>
            <w:tcW w:type="dxa" w:w="66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Alok Kulkarni</w:t>
            </w:r>
          </w:p>
        </w:tc>
      </w:tr>
      <w:tr>
        <w:tc>
          <w:tcPr>
            <w:tcW w:type="dxa" w:w="3024"/>
            <w:tcBorders>
              <w:top w:val="single" w:sz="6" w:color="D9D9E0"/>
              <w:left w:val="single" w:sz="6" w:color="D9D9E0"/>
              <w:bottom w:val="single" w:sz="6" w:color="D9D9E0"/>
              <w:right w:val="single" w:sz="6" w:color="D9D9E0"/>
            </w:tcBorders>
          </w:tcPr>
          <w:p>
            <w:pPr>
              <w:spacing w:before="50" w:after="50"/>
            </w:pPr>
            <w:r>
              <w:rPr>
                <w:sz w:val="18"/>
              </w:rPr>
              <w:t>Project start date</w:t>
            </w:r>
          </w:p>
        </w:tc>
        <w:tc>
          <w:tcPr>
            <w:tcW w:type="dxa" w:w="6624"/>
            <w:tcBorders>
              <w:top w:val="single" w:sz="6" w:color="D9D9E0"/>
              <w:left w:val="single" w:sz="6" w:color="D9D9E0"/>
              <w:bottom w:val="single" w:sz="6" w:color="D9D9E0"/>
              <w:right w:val="single" w:sz="6" w:color="D9D9E0"/>
            </w:tcBorders>
          </w:tcPr>
          <w:p>
            <w:pPr>
              <w:spacing w:before="50" w:after="50"/>
            </w:pPr>
            <w:r>
              <w:rPr>
                <w:sz w:val="18"/>
              </w:rPr>
              <w:t>2026-08-26</w:t>
            </w:r>
          </w:p>
        </w:tc>
      </w:tr>
      <w:tr>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8"/>
              </w:rPr>
              <w:t>Expected submission date</w:t>
            </w:r>
          </w:p>
        </w:tc>
        <w:tc>
          <w:tcPr>
            <w:tcW w:type="dxa" w:w="6624"/>
            <w:tcBorders>
              <w:top w:val="single" w:sz="6" w:color="D9D9E0"/>
              <w:left w:val="single" w:sz="6" w:color="D9D9E0"/>
              <w:bottom w:val="single" w:sz="6" w:color="D9D9E0"/>
              <w:right w:val="single" w:sz="6" w:color="D9D9E0"/>
            </w:tcBorders>
            <w:shd w:val="clear" w:fill="F4F4F7"/>
          </w:tcPr>
          <w:p>
            <w:pPr>
              <w:spacing w:before="50" w:after="50"/>
            </w:pPr>
            <w:r>
              <w:t>2026-09-20 (moved from 2026-09-13)</w:t>
            </w:r>
          </w:p>
        </w:tc>
      </w:tr>
      <w:tr>
        <w:tc>
          <w:tcPr>
            <w:tcW w:type="dxa" w:w="3024"/>
            <w:tcBorders>
              <w:top w:val="single" w:sz="6" w:color="D9D9E0"/>
              <w:left w:val="single" w:sz="6" w:color="D9D9E0"/>
              <w:bottom w:val="single" w:sz="6" w:color="D9D9E0"/>
              <w:right w:val="single" w:sz="6" w:color="D9D9E0"/>
            </w:tcBorders>
          </w:tcPr>
          <w:p>
            <w:pPr>
              <w:spacing w:before="50" w:after="50"/>
            </w:pPr>
            <w:r>
              <w:rPr>
                <w:sz w:val="18"/>
              </w:rPr>
              <w:t>Machine used</w:t>
            </w:r>
          </w:p>
        </w:tc>
        <w:tc>
          <w:tcPr>
            <w:tcW w:type="dxa" w:w="6624"/>
            <w:tcBorders>
              <w:top w:val="single" w:sz="6" w:color="D9D9E0"/>
              <w:left w:val="single" w:sz="6" w:color="D9D9E0"/>
              <w:bottom w:val="single" w:sz="6" w:color="D9D9E0"/>
              <w:right w:val="single" w:sz="6" w:color="D9D9E0"/>
            </w:tcBorders>
          </w:tcPr>
          <w:p>
            <w:pPr>
              <w:spacing w:before="50" w:after="50"/>
            </w:pPr>
            <w:r>
              <w:rPr>
                <w:sz w:val="18"/>
              </w:rPr>
              <w:t>MacBook — macOS, Python 3.11 via Homebrew</w:t>
            </w:r>
          </w:p>
        </w:tc>
      </w:tr>
      <w:tr>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8"/>
              </w:rPr>
              <w:t>Notes</w:t>
            </w:r>
          </w:p>
        </w:tc>
        <w:tc>
          <w:tcPr>
            <w:tcW w:type="dxa" w:w="6624"/>
            <w:tcBorders>
              <w:top w:val="single" w:sz="6" w:color="D9D9E0"/>
              <w:left w:val="single" w:sz="6" w:color="D9D9E0"/>
              <w:bottom w:val="single" w:sz="6" w:color="D9D9E0"/>
              <w:right w:val="single" w:sz="6" w:color="D9D9E0"/>
            </w:tcBorders>
            <w:shd w:val="clear" w:fill="F4F4F7"/>
          </w:tcPr>
          <w:p>
            <w:pPr>
              <w:spacing w:before="50" w:after="50"/>
            </w:pPr>
            <w:r>
              <w:t>Individual project. Free-tier tooling throughout. Companion session used for planning, drafting, review, and code scaffolding. Weeks two and three were reconstructed on 2026-09-18 from git history and the Stage 4 daily check-ins; no contemporaneous hours were recorded for those weeks, so their hours are estimates from commit spans and are marked '(est.)'.</w:t>
            </w:r>
          </w:p>
        </w:tc>
      </w:tr>
    </w:tbl>
    <w:p>
      <w:pPr>
        <w:spacing w:after="80"/>
      </w:pPr>
    </w:p>
    <w:p>
      <w:pPr>
        <w:spacing w:before="440" w:after="60"/>
        <w:pBdr>
          <w:bottom w:val="single" w:sz="8" w:space="6" w:color="E8660A"/>
        </w:pBdr>
      </w:pPr>
      <w:r>
        <w:rPr>
          <w:b/>
          <w:color w:val="E8660A"/>
          <w:sz w:val="34"/>
        </w:rPr>
        <w:t xml:space="preserve">2   </w:t>
      </w:r>
      <w:r>
        <w:rPr>
          <w:b/>
          <w:color w:val="1A1A2E"/>
          <w:sz w:val="34"/>
        </w:rPr>
        <w:t>Summary of hours by stage</w:t>
      </w:r>
    </w:p>
    <w:p>
      <w:pPr>
        <w:spacing w:after="140"/>
      </w:pPr>
      <w:r>
        <w:rPr>
          <w:i w:val="0"/>
          <w:sz w:val="21"/>
        </w:rPr>
        <w:t>Complete this last, from the detailed entries that follow. The totals must reconcile with your daily records.</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Stage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Planned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Actual hours</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Difference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the difference</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1. Discovery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18</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16</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-2</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Ticket data analysis produced usable evidence in one pass; interview reading was faster than expected because the transcripts are tight.</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2. Requirements</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12</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14</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Traceability audit and correcting the FR discovery-column misuse took an extra 2 hours.</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3. Prompt library</w:t>
            </w:r>
          </w:p>
        </w:tc>
        <w:tc>
          <w:tcPr>
            <w:tcW w:type="dxa" w:w="1440"/>
            <w:tcBorders>
              <w:top w:val="single" w:sz="6" w:color="D9D9E0"/>
              <w:left w:val="single" w:sz="6" w:color="D9D9E0"/>
              <w:bottom w:val="single" w:sz="6" w:color="D9D9E0"/>
              <w:right w:val="single" w:sz="6" w:color="D9D9E0"/>
            </w:tcBorders>
          </w:tcPr>
          <w:p>
            <w:pPr>
              <w:spacing w:before="50" w:after="50"/>
            </w:pPr>
            <w:r>
              <w:t>8</w:t>
            </w:r>
          </w:p>
        </w:tc>
        <w:tc>
          <w:tcPr>
            <w:tcW w:type="dxa" w:w="1440"/>
            <w:tcBorders>
              <w:top w:val="single" w:sz="6" w:color="D9D9E0"/>
              <w:left w:val="single" w:sz="6" w:color="D9D9E0"/>
              <w:bottom w:val="single" w:sz="6" w:color="D9D9E0"/>
              <w:right w:val="single" w:sz="6" w:color="D9D9E0"/>
            </w:tcBorders>
          </w:tcPr>
          <w:p>
            <w:pPr>
              <w:spacing w:before="50" w:after="50"/>
            </w:pPr>
            <w:r>
              <w:t>6</w:t>
            </w:r>
          </w:p>
        </w:tc>
        <w:tc>
          <w:tcPr>
            <w:tcW w:type="dxa" w:w="1296"/>
            <w:tcBorders>
              <w:top w:val="single" w:sz="6" w:color="D9D9E0"/>
              <w:left w:val="single" w:sz="6" w:color="D9D9E0"/>
              <w:bottom w:val="single" w:sz="6" w:color="D9D9E0"/>
              <w:right w:val="single" w:sz="6" w:color="D9D9E0"/>
            </w:tcBorders>
          </w:tcPr>
          <w:p>
            <w:pPr>
              <w:spacing w:before="50" w:after="50"/>
            </w:pPr>
            <w:r>
              <w:t>-2</w:t>
            </w:r>
          </w:p>
        </w:tc>
        <w:tc>
          <w:tcPr>
            <w:tcW w:type="dxa" w:w="3024"/>
            <w:tcBorders>
              <w:top w:val="single" w:sz="6" w:color="D9D9E0"/>
              <w:left w:val="single" w:sz="6" w:color="D9D9E0"/>
              <w:bottom w:val="single" w:sz="6" w:color="D9D9E0"/>
              <w:right w:val="single" w:sz="6" w:color="D9D9E0"/>
            </w:tcBorders>
          </w:tcPr>
          <w:p>
            <w:pPr>
              <w:spacing w:before="50" w:after="50"/>
            </w:pPr>
            <w:r>
              <w:t>PR-GENERATE-01 (three versions), five guardrail prompts and PR-EVAL-JUDGE-01. Written alongside the components that use them rather than as a separate stage, so the split against stage 5 is approximate.</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4. Sprint plan</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4</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3</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-1</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Written 30 Aug, then maintained: backlog amendments, daily check-ins and the deadline move to 20 Sep.</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5. Build + evaluation</w:t>
            </w:r>
          </w:p>
        </w:tc>
        <w:tc>
          <w:tcPr>
            <w:tcW w:type="dxa" w:w="1440"/>
            <w:tcBorders>
              <w:top w:val="single" w:sz="6" w:color="D9D9E0"/>
              <w:left w:val="single" w:sz="6" w:color="D9D9E0"/>
              <w:bottom w:val="single" w:sz="6" w:color="D9D9E0"/>
              <w:right w:val="single" w:sz="6" w:color="D9D9E0"/>
            </w:tcBorders>
          </w:tcPr>
          <w:p>
            <w:pPr>
              <w:spacing w:before="50" w:after="50"/>
            </w:pPr>
            <w:r>
              <w:t>40</w:t>
            </w:r>
          </w:p>
        </w:tc>
        <w:tc>
          <w:tcPr>
            <w:tcW w:type="dxa" w:w="1440"/>
            <w:tcBorders>
              <w:top w:val="single" w:sz="6" w:color="D9D9E0"/>
              <w:left w:val="single" w:sz="6" w:color="D9D9E0"/>
              <w:bottom w:val="single" w:sz="6" w:color="D9D9E0"/>
              <w:right w:val="single" w:sz="6" w:color="D9D9E0"/>
            </w:tcBorders>
          </w:tcPr>
          <w:p>
            <w:pPr>
              <w:spacing w:before="50" w:after="50"/>
            </w:pPr>
            <w:r>
              <w:t>48.5</w:t>
            </w:r>
          </w:p>
        </w:tc>
        <w:tc>
          <w:tcPr>
            <w:tcW w:type="dxa" w:w="1296"/>
            <w:tcBorders>
              <w:top w:val="single" w:sz="6" w:color="D9D9E0"/>
              <w:left w:val="single" w:sz="6" w:color="D9D9E0"/>
              <w:bottom w:val="single" w:sz="6" w:color="D9D9E0"/>
              <w:right w:val="single" w:sz="6" w:color="D9D9E0"/>
            </w:tcBorders>
          </w:tcPr>
          <w:p>
            <w:pPr>
              <w:spacing w:before="50" w:after="50"/>
            </w:pPr>
            <w:r>
              <w:t>+8.5</w:t>
            </w:r>
          </w:p>
        </w:tc>
        <w:tc>
          <w:tcPr>
            <w:tcW w:type="dxa" w:w="3024"/>
            <w:tcBorders>
              <w:top w:val="single" w:sz="6" w:color="D9D9E0"/>
              <w:left w:val="single" w:sz="6" w:color="D9D9E0"/>
              <w:bottom w:val="single" w:sz="6" w:color="D9D9E0"/>
              <w:right w:val="single" w:sz="6" w:color="D9D9E0"/>
            </w:tcBorders>
          </w:tcPr>
          <w:p>
            <w:pPr>
              <w:spacing w:before="50" w:after="50"/>
            </w:pPr>
            <w:r>
              <w:t>Reconstructed from git history (see weeks two and three). The overrun is evaluation, not components: the harness, three 80-ticket runs, the retrieval and ground-truth evaluations, the prompt A/B and the judge calibration.</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6. Governance</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10</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7</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Fairness audit and its code, risk register, incident procedure and kill switch. Under estimate because the fairness numbers came from the harness rather than a separate exercise.</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7. Report + video</w:t>
            </w:r>
          </w:p>
        </w:tc>
        <w:tc>
          <w:tcPr>
            <w:tcW w:type="dxa" w:w="1440"/>
            <w:tcBorders>
              <w:top w:val="single" w:sz="6" w:color="D9D9E0"/>
              <w:left w:val="single" w:sz="6" w:color="D9D9E0"/>
              <w:bottom w:val="single" w:sz="6" w:color="D9D9E0"/>
              <w:right w:val="single" w:sz="6" w:color="D9D9E0"/>
            </w:tcBorders>
          </w:tcPr>
          <w:p>
            <w:pPr>
              <w:spacing w:before="50" w:after="50"/>
            </w:pPr>
            <w:r>
              <w:t>12</w:t>
            </w:r>
          </w:p>
        </w:tc>
        <w:tc>
          <w:tcPr>
            <w:tcW w:type="dxa" w:w="1440"/>
            <w:tcBorders>
              <w:top w:val="single" w:sz="6" w:color="D9D9E0"/>
              <w:left w:val="single" w:sz="6" w:color="D9D9E0"/>
              <w:bottom w:val="single" w:sz="6" w:color="D9D9E0"/>
              <w:right w:val="single" w:sz="6" w:color="D9D9E0"/>
            </w:tcBorders>
          </w:tcPr>
          <w:p>
            <w:pPr>
              <w:spacing w:before="50" w:after="50"/>
            </w:pPr>
            <w:r>
              <w:t>0</w:t>
            </w:r>
          </w:p>
        </w:tc>
        <w:tc>
          <w:tcPr>
            <w:tcW w:type="dxa" w:w="1296"/>
            <w:tcBorders>
              <w:top w:val="single" w:sz="6" w:color="D9D9E0"/>
              <w:left w:val="single" w:sz="6" w:color="D9D9E0"/>
              <w:bottom w:val="single" w:sz="6" w:color="D9D9E0"/>
              <w:right w:val="single" w:sz="6" w:color="D9D9E0"/>
            </w:tcBorders>
          </w:tcPr>
          <w:p>
            <w:pPr>
              <w:spacing w:before="50" w:after="50"/>
            </w:pPr>
            <w:r>
              <w:t>-12</w:t>
            </w:r>
          </w:p>
        </w:tc>
        <w:tc>
          <w:tcPr>
            <w:tcW w:type="dxa" w:w="3024"/>
            <w:tcBorders>
              <w:top w:val="single" w:sz="6" w:color="D9D9E0"/>
              <w:left w:val="single" w:sz="6" w:color="D9D9E0"/>
              <w:bottom w:val="single" w:sz="6" w:color="D9D9E0"/>
              <w:right w:val="single" w:sz="6" w:color="D9D9E0"/>
            </w:tcBorders>
          </w:tcPr>
          <w:p>
            <w:pPr>
              <w:spacing w:before="50" w:after="50"/>
            </w:pPr>
            <w:r>
              <w:t>Not started — B-25 and B-26 remain.</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Week one: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Read pack: Start Here, Project Brief, Build Specification, Submission Guide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Working understanding of assessment criteria; extracted 12 acceptance criteria to memory.</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Read all 5 stakeholder interview transcripts; tagged EV-M/S/D/I/R evidence</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workbooks/discovery_notes.md — 15 tagged claims across the five interviewees; four disagreements queued for data.</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Scaffold repo structure (src, tests, evaluation, prompts, docs, workbooks, .github)</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5</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Layout matching Setup Guide §08; CI workflow; .gitignore; .env.example.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Draft six capstone skills (conventions, prd-writer, prompt-writer, component-impl, test-writer, adr)</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Six .skill archives saved to account; plain markdown copies committed to skills/ folder.</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Draft avoid-ai-writing skill install + review</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Skill added to account.</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2026-08-27</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Ticket data forensics — 500 dev tickets</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2.5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workbooks/discovery_notes_thursday.md — 12 EV-DATA tags; resolved Q1/Q2/Q4; established FCR 43.8%, CSAT 2.97 baselines.</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2026-08-27</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Update four skills to reflect 2026 agentic architecture practice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Router/Self-RAG comparison added; three-dim RAG NFR decomposition; judge-bias mitigation.</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2026-08-27</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Publish 'Not a Chatbot' orientation Artifact</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Visual explainer of the capstone brief published as an Artifact.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2026-08-28</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Fill Stage 1 Discovery Workbook (12 tables)</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3.5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workbooks/Stage_1_Discovery_Workbook.docx — all evidence tagged; problem statement drafted in Table 14.</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Q3 pilot deferred to Sat because of container's HuggingFace proxy block; Stage 1 filled instead.</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2026-08-28</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Row-formatting bug fix: python-docx add_row loses column widths → deep-copy pattern</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fill_stage1_fixed.py; both workbooks now inherit template row XML on clone.</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Q3 retrieval pilot (TF-IDF + BM25 over 29 KB articles vs 357 answerable tickets)</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workbooks/q3_findings.md — hit@3 = 93.6%. Settles Q3; changes the shape of the PRD.</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sentence-transformers download blocked by container proxy; pivoted to TF-IDF/BM25 pilot which turned out to be a better answer.</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Populate Stage 2 PRD v1 — 24 FRs, 11 NFRs, out-of-scope, assumptions, success measures, open questions</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2.5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workbooks/Stage_2_PRD_Template.docx — every FR traceable; three-dim RAG NFR decomposition.</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Traceability audit script + skill update; correct PRD Table 4 wrong-column population</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scripts/traceability_audit.py — 100% coverage; capstone-prd-writer skill updated with mandatory audit-pass rule.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Stage 1 four fixes: problem-statement sync, 4x-cost assumption, risk traces, measurement source cites</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1+2</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Stage 1 workbook + PRD Table 7 updated; audit still PASS.</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Write five Week-1 ADRs (D-01, D-02, D-03, D-05, D-06) + docs/architecture.md decision table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docs/adr/*.md — model provider, embedding model, decision-log store, confidence threshold, agent pattern.</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Section-notation cleanup (§ → #) + mapping doc in workbooks/</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Notation convention consistent across docs.</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PRD Table 4 traceability fix (moved A&lt;n&gt; refs from Discovery evidence to Acceptance criteria column, added EV-* traces to 24 FRs). Stage 1 four fixes (problem statement sync with PRD, 4x cost assumption named, all 8 risks traced, 14 Table 5 rows cite computation source).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3.0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Stage 1 workbook + PRD updated; traceability_audit.py extended to check context tables; 100% coverage.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Was Sat W1 slippage: audit + fixes caught by user's Table 4 audit question.</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Local Python 3.11 + pip install chase: 12 pack requirements.txt pin conflicts resolved iteratively (openai, pydantic, chromadb, langchain family x 4, langgraph, langchain-core, langsmith, sentence-transformers, dropped psycopg2-binary, added python-docx).</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requirements.txt with header block documenting all 12 deviations for Stage 5 revision log. verify_setup PASS. Chroma index built (59 passages).</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Pack's requirements.txt is internally incompatible; each fix revealed the next until family bumped to matched May 2024 release set.</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Effort log Week 1 fill (rolling per Submission Guide) + traceability_audit final PASS + capstone_overview refresh in the Claude project.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6</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workbooks/Effort_Log.docx populated with 16 W1 entries + stage summary + estimate-vs-actual + reflections + declaration. Traceability audit still 100% coverage after all fixes.</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Stage 4 Sprint Plan drafted (Week 2 D1 brought forward): 27-item backlog, each item citing FR/NFR/PR/ADR/A&lt;n&gt;/Open Q; Week 2 gate on Fri 4 Sep = B-21 full validation unattended run; cut list of 5 items in order.</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4</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workbooks/Stage_4_Sprint_Plan.docx committed. Every task now has a plan-citation source.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Was flagged out-of-sequence: user challenged 'how would you know to run this without AI?' — surfaced missing sprint plan and drove me to write it now rather than Monday.</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Sequencing discipline codified in capstone-conventions skill + capstone_overview.md + repo copy. Two rules: (1) never propose a task not in a written plan; (2) 'what's next?' answer must cite the plan row.</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capstone-conventions.md updated with 'Sequencing discipline — REQUIRED' section documenting three Week 1 failures and the correction. Loaded automatically in every future session.</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 Meta-work triggered by user's discipline pushback.</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Week two: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pPr>
              <w:spacing w:before="50" w:after="50"/>
            </w:pPr>
            <w:r>
              <w:t>2026-08-31</w:t>
            </w:r>
          </w:p>
        </w:tc>
        <w:tc>
          <w:tcPr>
            <w:tcW w:type="dxa" w:w="2736"/>
            <w:tcBorders>
              <w:top w:val="single" w:sz="6" w:color="D9D9E0"/>
              <w:left w:val="single" w:sz="6" w:color="D9D9E0"/>
              <w:bottom w:val="single" w:sz="6" w:color="D9D9E0"/>
              <w:right w:val="single" w:sz="6" w:color="D9D9E0"/>
            </w:tcBorders>
          </w:tcPr>
          <w:p>
            <w:pPr>
              <w:spacing w:before="50" w:after="50"/>
            </w:pPr>
            <w:r>
              <w:t>B-07 D-02 revisit check run and written up. CI green after ci.yml and flake8 fixes. PRD to v2 (FR-04, NFR-01a v2, NFR-05 revised; FR-25 added). Stage 5 revision log rewritten into 5 real requirement revisions plus 7 assumptions. B-04 src/classify.py pulled forward from Tuesday.</w:t>
            </w:r>
          </w:p>
        </w:tc>
        <w:tc>
          <w:tcPr>
            <w:tcW w:type="dxa" w:w="864"/>
            <w:tcBorders>
              <w:top w:val="single" w:sz="6" w:color="D9D9E0"/>
              <w:left w:val="single" w:sz="6" w:color="D9D9E0"/>
              <w:bottom w:val="single" w:sz="6" w:color="D9D9E0"/>
              <w:right w:val="single" w:sz="6" w:color="D9D9E0"/>
            </w:tcBorders>
          </w:tcPr>
          <w:p>
            <w:pPr>
              <w:spacing w:before="50" w:after="50"/>
            </w:pPr>
            <w:r>
              <w:t>2+5</w:t>
            </w:r>
          </w:p>
        </w:tc>
        <w:tc>
          <w:tcPr>
            <w:tcW w:type="dxa" w:w="864"/>
            <w:tcBorders>
              <w:top w:val="single" w:sz="6" w:color="D9D9E0"/>
              <w:left w:val="single" w:sz="6" w:color="D9D9E0"/>
              <w:bottom w:val="single" w:sz="6" w:color="D9D9E0"/>
              <w:right w:val="single" w:sz="6" w:color="D9D9E0"/>
            </w:tcBorders>
          </w:tcPr>
          <w:p>
            <w:pPr>
              <w:spacing w:before="50" w:after="50"/>
            </w:pPr>
            <w:r>
              <w:t>8.0 (est.)</w:t>
            </w:r>
          </w:p>
        </w:tc>
        <w:tc>
          <w:tcPr>
            <w:tcW w:type="dxa" w:w="2304"/>
            <w:tcBorders>
              <w:top w:val="single" w:sz="6" w:color="D9D9E0"/>
              <w:left w:val="single" w:sz="6" w:color="D9D9E0"/>
              <w:bottom w:val="single" w:sz="6" w:color="D9D9E0"/>
              <w:right w:val="single" w:sz="6" w:color="D9D9E0"/>
            </w:tcBorders>
          </w:tcPr>
          <w:p>
            <w:pPr>
              <w:spacing w:before="50" w:after="50"/>
            </w:pPr>
            <w:r>
              <w:t>workbooks/d02_findings.md; src/classify.py with 16 pytest cases green; PRD v2; Stage 5 log v1.</w:t>
            </w:r>
          </w:p>
        </w:tc>
        <w:tc>
          <w:tcPr>
            <w:tcW w:type="dxa" w:w="1728"/>
            <w:tcBorders>
              <w:top w:val="single" w:sz="6" w:color="D9D9E0"/>
              <w:left w:val="single" w:sz="6" w:color="D9D9E0"/>
              <w:bottom w:val="single" w:sz="6" w:color="D9D9E0"/>
              <w:right w:val="single" w:sz="6" w:color="D9D9E0"/>
            </w:tcBorders>
          </w:tcPr>
          <w:p>
            <w:pPr>
              <w:spacing w:before="50" w:after="50"/>
            </w:pPr>
            <w:r>
              <w:t>None. Plan gap found: ingest.py had no backlog item, added as B-28.</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t>2026-09-02</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t>B-08 D-04 final chunking ADR. B-30 title and category prepending measured and applied to src/index_docs.py. Data-fidelity check during B-28 disproved FR-25's premise; FR-25 removed. NFR-01a revised to v3 on the B-30 evidence.</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2+5</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6.0 (est.)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t>docs/adr/D-04-chunking.md; workbooks/b30_findings.md; src/index_docs.py; PRD v2.2.</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t>None. Table 4 had scheduled B-09 and B-10; both slipped.</w:t>
            </w:r>
          </w:p>
        </w:tc>
      </w:tr>
      <w:tr>
        <w:tc>
          <w:tcPr>
            <w:tcW w:type="dxa" w:w="1152"/>
            <w:tcBorders>
              <w:top w:val="single" w:sz="6" w:color="D9D9E0"/>
              <w:left w:val="single" w:sz="6" w:color="D9D9E0"/>
              <w:bottom w:val="single" w:sz="6" w:color="D9D9E0"/>
              <w:right w:val="single" w:sz="6" w:color="D9D9E0"/>
            </w:tcBorders>
          </w:tcPr>
          <w:p>
            <w:pPr>
              <w:spacing w:before="50" w:after="50"/>
            </w:pPr>
            <w:r>
              <w:t>2026-09-03</w:t>
            </w:r>
          </w:p>
        </w:tc>
        <w:tc>
          <w:tcPr>
            <w:tcW w:type="dxa" w:w="2736"/>
            <w:tcBorders>
              <w:top w:val="single" w:sz="6" w:color="D9D9E0"/>
              <w:left w:val="single" w:sz="6" w:color="D9D9E0"/>
              <w:bottom w:val="single" w:sz="6" w:color="D9D9E0"/>
              <w:right w:val="single" w:sz="6" w:color="D9D9E0"/>
            </w:tcBorders>
          </w:tcPr>
          <w:p>
            <w:pPr>
              <w:spacing w:before="50" w:after="50"/>
            </w:pPr>
            <w:r>
              <w:t>B-06 review found the retrieval defect: the Chroma collection carried no hnsw:space, so scores ran -0.094 to 0.650 and the uncalibrated 0.35 floor cut hit@3 from 94.1% to 52.4%. Fixed as D-02a (cosine, threshold 0.25 by sweep) and the index was rebuilt. B-09 closed: PR-GENERATE-01 rewritten to v2.0. A11/A6/A8 hardening.</w:t>
            </w:r>
          </w:p>
        </w:tc>
        <w:tc>
          <w:tcPr>
            <w:tcW w:type="dxa" w:w="864"/>
            <w:tcBorders>
              <w:top w:val="single" w:sz="6" w:color="D9D9E0"/>
              <w:left w:val="single" w:sz="6" w:color="D9D9E0"/>
              <w:bottom w:val="single" w:sz="6" w:color="D9D9E0"/>
              <w:right w:val="single" w:sz="6" w:color="D9D9E0"/>
            </w:tcBorders>
          </w:tcPr>
          <w:p>
            <w:pPr>
              <w:spacing w:before="50" w:after="50"/>
            </w:pPr>
            <w:r>
              <w:t>2+5</w:t>
            </w:r>
          </w:p>
        </w:tc>
        <w:tc>
          <w:tcPr>
            <w:tcW w:type="dxa" w:w="864"/>
            <w:tcBorders>
              <w:top w:val="single" w:sz="6" w:color="D9D9E0"/>
              <w:left w:val="single" w:sz="6" w:color="D9D9E0"/>
              <w:bottom w:val="single" w:sz="6" w:color="D9D9E0"/>
              <w:right w:val="single" w:sz="6" w:color="D9D9E0"/>
            </w:tcBorders>
          </w:tcPr>
          <w:p>
            <w:pPr>
              <w:spacing w:before="50" w:after="50"/>
            </w:pPr>
            <w:r>
              <w:t>5.5 (est.)</w:t>
            </w:r>
          </w:p>
        </w:tc>
        <w:tc>
          <w:tcPr>
            <w:tcW w:type="dxa" w:w="2304"/>
            <w:tcBorders>
              <w:top w:val="single" w:sz="6" w:color="D9D9E0"/>
              <w:left w:val="single" w:sz="6" w:color="D9D9E0"/>
              <w:bottom w:val="single" w:sz="6" w:color="D9D9E0"/>
              <w:right w:val="single" w:sz="6" w:color="D9D9E0"/>
            </w:tcBorders>
          </w:tcPr>
          <w:p>
            <w:pPr>
              <w:spacing w:before="50" w:after="50"/>
            </w:pPr>
            <w:r>
              <w:t>docs/adr/D-02a-*.md; src/retrieve.py; prompts/build/PR-GENERATE-01.md v2.0; D-03a and D-03b ADRs.</w:t>
            </w:r>
          </w:p>
        </w:tc>
        <w:tc>
          <w:tcPr>
            <w:tcW w:type="dxa" w:w="1728"/>
            <w:tcBorders>
              <w:top w:val="single" w:sz="6" w:color="D9D9E0"/>
              <w:left w:val="single" w:sz="6" w:color="D9D9E0"/>
              <w:bottom w:val="single" w:sz="6" w:color="D9D9E0"/>
              <w:right w:val="single" w:sz="6" w:color="D9D9E0"/>
            </w:tcBorders>
          </w:tcPr>
          <w:p>
            <w:pPr>
              <w:spacing w:before="50" w:after="50"/>
            </w:pPr>
            <w:r>
              <w:t>PRD Table 9 Q7 (guardrail scope) held B-10.</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t>2026-09-04</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t>B-12, B-13 and B-14: five blocking guardrails in src/guardrails.py with their prompts. B-16 threshold sweep (238 live calls) and the D-05b ADR. D-07 never-auto-respond policy ADR, replacing FR-10's dependence on an evaluation label.</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3+5</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8.0 (est.)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t>src/guardrails.py; PR-GUARDRAIL-* prompts; docs/adr/D-05b-*.md and D-07-*.md; evaluation/d05_threshold_sweep.py plus results.</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Week three: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pPr>
              <w:spacing w:before="50" w:after="50"/>
            </w:pPr>
            <w:r>
              <w:t>2026-09-09</w:t>
            </w:r>
          </w:p>
        </w:tc>
        <w:tc>
          <w:tcPr>
            <w:tcW w:type="dxa" w:w="2736"/>
            <w:tcBorders>
              <w:top w:val="single" w:sz="6" w:color="D9D9E0"/>
              <w:left w:val="single" w:sz="6" w:color="D9D9E0"/>
              <w:bottom w:val="single" w:sz="6" w:color="D9D9E0"/>
              <w:right w:val="single" w:sz="6" w:color="D9D9E0"/>
            </w:tcBorders>
          </w:tcPr>
          <w:p>
            <w:pPr>
              <w:spacing w:before="50" w:after="50"/>
            </w:pPr>
            <w:r>
              <w:t>B-19 evaluation/harness.py: end-to-end unattended run, one command, streaming results, metrics report, reconciliation against the decision log.</w:t>
            </w:r>
          </w:p>
        </w:tc>
        <w:tc>
          <w:tcPr>
            <w:tcW w:type="dxa" w:w="864"/>
            <w:tcBorders>
              <w:top w:val="single" w:sz="6" w:color="D9D9E0"/>
              <w:left w:val="single" w:sz="6" w:color="D9D9E0"/>
              <w:bottom w:val="single" w:sz="6" w:color="D9D9E0"/>
              <w:right w:val="single" w:sz="6" w:color="D9D9E0"/>
            </w:tcBorders>
          </w:tcPr>
          <w:p>
            <w:pPr>
              <w:spacing w:before="50" w:after="50"/>
            </w:pPr>
            <w:r>
              <w:t>5</w:t>
            </w:r>
          </w:p>
        </w:tc>
        <w:tc>
          <w:tcPr>
            <w:tcW w:type="dxa" w:w="864"/>
            <w:tcBorders>
              <w:top w:val="single" w:sz="6" w:color="D9D9E0"/>
              <w:left w:val="single" w:sz="6" w:color="D9D9E0"/>
              <w:bottom w:val="single" w:sz="6" w:color="D9D9E0"/>
              <w:right w:val="single" w:sz="6" w:color="D9D9E0"/>
            </w:tcBorders>
          </w:tcPr>
          <w:p>
            <w:pPr>
              <w:spacing w:before="50" w:after="50"/>
            </w:pPr>
            <w:r>
              <w:t>6.0 (est.)</w:t>
            </w:r>
          </w:p>
        </w:tc>
        <w:tc>
          <w:tcPr>
            <w:tcW w:type="dxa" w:w="2304"/>
            <w:tcBorders>
              <w:top w:val="single" w:sz="6" w:color="D9D9E0"/>
              <w:left w:val="single" w:sz="6" w:color="D9D9E0"/>
              <w:bottom w:val="single" w:sz="6" w:color="D9D9E0"/>
              <w:right w:val="single" w:sz="6" w:color="D9D9E0"/>
            </w:tcBorders>
          </w:tcPr>
          <w:p>
            <w:pPr>
              <w:spacing w:before="50" w:after="50"/>
            </w:pPr>
            <w:r>
              <w:t>evaluation/harness.py; first metrics_report.json shape (A9, A10).</w:t>
            </w:r>
          </w:p>
        </w:tc>
        <w:tc>
          <w:tcPr>
            <w:tcW w:type="dxa" w:w="1728"/>
            <w:tcBorders>
              <w:top w:val="single" w:sz="6" w:color="D9D9E0"/>
              <w:left w:val="single" w:sz="6" w:color="D9D9E0"/>
              <w:bottom w:val="single" w:sz="6" w:color="D9D9E0"/>
              <w:right w:val="single" w:sz="6" w:color="D9D9E0"/>
            </w:tcBorders>
          </w:tcPr>
          <w:p>
            <w:pPr>
              <w:spacing w:before="50" w:after="50"/>
            </w:pPr>
            <w: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t>2026-09-13</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t>Gate-run hardening after the 13 Sep run lost 46 of 80 tickets to provider failures: bounded every model call and named the real failure cause; stopped the PII check blocking on its own citation markers; separated fail-safe blocks from real findings; logged request and response either side of the guardrails; stripped citation markers from customer text; stopped auto-answering an unidentified intent; added the answer-relevance guardrail. Retrieval eval (hit rate, MRR, NDCG, margins) and the RAGAS-mapped ground-truth check.</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5</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8.0 (est.)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t>src/{classify,generate,guardrails,route}.py fixes; evaluation/retrieval_eval.py; evaluation/gt_response_check.py; three diagnostic run directories.</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t>OpenRouter free tier: 46 of 80 classifications failed on connection errors.</w:t>
            </w:r>
          </w:p>
        </w:tc>
      </w:tr>
      <w:tr>
        <w:tc>
          <w:tcPr>
            <w:tcW w:type="dxa" w:w="1152"/>
            <w:tcBorders>
              <w:top w:val="single" w:sz="6" w:color="D9D9E0"/>
              <w:left w:val="single" w:sz="6" w:color="D9D9E0"/>
              <w:bottom w:val="single" w:sz="6" w:color="D9D9E0"/>
              <w:right w:val="single" w:sz="6" w:color="D9D9E0"/>
            </w:tcBorders>
          </w:tcPr>
          <w:p>
            <w:pPr>
              <w:spacing w:before="50" w:after="50"/>
            </w:pPr>
            <w:r>
              <w:t>2026-09-14</w:t>
            </w:r>
          </w:p>
        </w:tc>
        <w:tc>
          <w:tcPr>
            <w:tcW w:type="dxa" w:w="2736"/>
            <w:tcBorders>
              <w:top w:val="single" w:sz="6" w:color="D9D9E0"/>
              <w:left w:val="single" w:sz="6" w:color="D9D9E0"/>
              <w:bottom w:val="single" w:sz="6" w:color="D9D9E0"/>
              <w:right w:val="single" w:sz="6" w:color="D9D9E0"/>
            </w:tcBorders>
          </w:tcPr>
          <w:p>
            <w:pPr>
              <w:spacing w:before="50" w:after="50"/>
            </w:pPr>
            <w:r>
              <w:t>Froze the held-out ground-truth split and pre-registered the prompt A/B rules. PR-GENERATE-01 v3.0 and v3.1 candidates; v3.1 rejected on rule O1 and v2.0 kept. Key isolation fix after the OpenRouter key was sent to OpenAI. B-21 clean 80-ticket gate run (OpenAI). B-24 fairness audit. Seed capability deny-list so Gemini could judge. B-17 judge prompt written and the B-18 calibration set frozen before scoring.</w:t>
            </w:r>
          </w:p>
        </w:tc>
        <w:tc>
          <w:tcPr>
            <w:tcW w:type="dxa" w:w="864"/>
            <w:tcBorders>
              <w:top w:val="single" w:sz="6" w:color="D9D9E0"/>
              <w:left w:val="single" w:sz="6" w:color="D9D9E0"/>
              <w:bottom w:val="single" w:sz="6" w:color="D9D9E0"/>
              <w:right w:val="single" w:sz="6" w:color="D9D9E0"/>
            </w:tcBorders>
          </w:tcPr>
          <w:p>
            <w:pPr>
              <w:spacing w:before="50" w:after="50"/>
            </w:pPr>
            <w:r>
              <w:t>3+5+6</w:t>
            </w:r>
          </w:p>
        </w:tc>
        <w:tc>
          <w:tcPr>
            <w:tcW w:type="dxa" w:w="864"/>
            <w:tcBorders>
              <w:top w:val="single" w:sz="6" w:color="D9D9E0"/>
              <w:left w:val="single" w:sz="6" w:color="D9D9E0"/>
              <w:bottom w:val="single" w:sz="6" w:color="D9D9E0"/>
              <w:right w:val="single" w:sz="6" w:color="D9D9E0"/>
            </w:tcBorders>
          </w:tcPr>
          <w:p>
            <w:pPr>
              <w:spacing w:before="50" w:after="50"/>
            </w:pPr>
            <w:r>
              <w:t>8.0 (est.)</w:t>
            </w:r>
          </w:p>
        </w:tc>
        <w:tc>
          <w:tcPr>
            <w:tcW w:type="dxa" w:w="2304"/>
            <w:tcBorders>
              <w:top w:val="single" w:sz="6" w:color="D9D9E0"/>
              <w:left w:val="single" w:sz="6" w:color="D9D9E0"/>
              <w:bottom w:val="single" w:sz="6" w:color="D9D9E0"/>
              <w:right w:val="single" w:sz="6" w:color="D9D9E0"/>
            </w:tcBorders>
          </w:tcPr>
          <w:p>
            <w:pPr>
              <w:spacing w:before="50" w:after="50"/>
            </w:pPr>
            <w:r>
              <w:t>evaluation/splits/gt_prompt_split.json; evaluation/prompt_ab.py and decision.json; src/config.py resolve_api_key; b21_openai_80_20260914; evaluation/fairness_audit.py; prompts/evaluation/PR-EVAL-JUDGE-01.md; tests/fixtures/judge_calibration.json.</w:t>
            </w:r>
          </w:p>
        </w:tc>
        <w:tc>
          <w:tcPr>
            <w:tcW w:type="dxa" w:w="1728"/>
            <w:tcBorders>
              <w:top w:val="single" w:sz="6" w:color="D9D9E0"/>
              <w:left w:val="single" w:sz="6" w:color="D9D9E0"/>
              <w:bottom w:val="single" w:sz="6" w:color="D9D9E0"/>
              <w:right w:val="single" w:sz="6" w:color="D9D9E0"/>
            </w:tcBorders>
          </w:tcPr>
          <w:p>
            <w:pPr>
              <w:spacing w:before="50" w:after="50"/>
            </w:pPr>
            <w:r>
              <w:t>OpenRouter account had no credit; the maintainer moved to paid OpenAI to get a clean gate run.</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t>2026-09-15</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t>Second 80-ticket B-21 run with gemini-3.8-flash as the guardrail judge, and its fairness audit. Ten tickets changed outcome against the 14 Sep run; only 27 of 80 drafts were identical, so the change is not attributable to the judge alone.</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5+6</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3.0 (est.)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t>evaluation/results/b21_openai_gemini_80_20260915/ with fairness report and table.</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t>No run log captured: LOG_FILE was not set.</w:t>
            </w:r>
          </w:p>
        </w:tc>
      </w:tr>
      <w:tr>
        <w:tc>
          <w:tcPr>
            <w:tcW w:type="dxa" w:w="1152"/>
            <w:tcBorders>
              <w:top w:val="single" w:sz="6" w:color="D9D9E0"/>
              <w:left w:val="single" w:sz="6" w:color="D9D9E0"/>
              <w:bottom w:val="single" w:sz="6" w:color="D9D9E0"/>
              <w:right w:val="single" w:sz="6" w:color="D9D9E0"/>
            </w:tcBorders>
          </w:tcPr>
          <w:p>
            <w:pPr>
              <w:spacing w:before="50" w:after="50"/>
            </w:pPr>
            <w:r>
              <w:t>2026-09-17</w:t>
            </w:r>
          </w:p>
        </w:tc>
        <w:tc>
          <w:tcPr>
            <w:tcW w:type="dxa" w:w="2736"/>
            <w:tcBorders>
              <w:top w:val="single" w:sz="6" w:color="D9D9E0"/>
              <w:left w:val="single" w:sz="6" w:color="D9D9E0"/>
              <w:bottom w:val="single" w:sz="6" w:color="D9D9E0"/>
              <w:right w:val="single" w:sz="6" w:color="D9D9E0"/>
            </w:tcBorders>
          </w:tcPr>
          <w:p>
            <w:pPr>
              <w:spacing w:before="50" w:after="50"/>
            </w:pPr>
            <w:r>
              <w:t>B-18: scored 50 calibration triples blind, then ran the judge over the same items and measured agreement — pooled Spearman 0.35 against the 0.70 floor, so the judge is not trusted. Recall@k and citation precision/recall. Per-call token and cost recording (NFR-08). Harness metrics: unknown-correctness, recall@k, Brier score, opt-in judge block. D-01a ADR after the provider decision. Test-isolation fix: the suite needed a real .env and 8 tests called the live provider.</w:t>
            </w:r>
          </w:p>
        </w:tc>
        <w:tc>
          <w:tcPr>
            <w:tcW w:type="dxa" w:w="864"/>
            <w:tcBorders>
              <w:top w:val="single" w:sz="6" w:color="D9D9E0"/>
              <w:left w:val="single" w:sz="6" w:color="D9D9E0"/>
              <w:bottom w:val="single" w:sz="6" w:color="D9D9E0"/>
              <w:right w:val="single" w:sz="6" w:color="D9D9E0"/>
            </w:tcBorders>
          </w:tcPr>
          <w:p>
            <w:pPr>
              <w:spacing w:before="50" w:after="50"/>
            </w:pPr>
            <w:r>
              <w:t>5+6</w:t>
            </w:r>
          </w:p>
        </w:tc>
        <w:tc>
          <w:tcPr>
            <w:tcW w:type="dxa" w:w="864"/>
            <w:tcBorders>
              <w:top w:val="single" w:sz="6" w:color="D9D9E0"/>
              <w:left w:val="single" w:sz="6" w:color="D9D9E0"/>
              <w:bottom w:val="single" w:sz="6" w:color="D9D9E0"/>
              <w:right w:val="single" w:sz="6" w:color="D9D9E0"/>
            </w:tcBorders>
          </w:tcPr>
          <w:p>
            <w:pPr>
              <w:spacing w:before="50" w:after="50"/>
            </w:pPr>
            <w:r>
              <w:t>8.0 (est.)</w:t>
            </w:r>
          </w:p>
        </w:tc>
        <w:tc>
          <w:tcPr>
            <w:tcW w:type="dxa" w:w="2304"/>
            <w:tcBorders>
              <w:top w:val="single" w:sz="6" w:color="D9D9E0"/>
              <w:left w:val="single" w:sz="6" w:color="D9D9E0"/>
              <w:bottom w:val="single" w:sz="6" w:color="D9D9E0"/>
              <w:right w:val="single" w:sz="6" w:color="D9D9E0"/>
            </w:tcBorders>
          </w:tcPr>
          <w:p>
            <w:pPr>
              <w:spacing w:before="50" w:after="50"/>
            </w:pPr>
            <w:r>
              <w:t>judge_calibration_20260917/ (agreement, disagreement review); src/usage.py; harness metrics plus tests; docs/adr/D-01a-*.md; tests/test_model_call_bounds.py and tests/test_harness_smoke.py fixes.</w:t>
            </w:r>
          </w:p>
        </w:tc>
        <w:tc>
          <w:tcPr>
            <w:tcW w:type="dxa" w:w="1728"/>
            <w:tcBorders>
              <w:top w:val="single" w:sz="6" w:color="D9D9E0"/>
              <w:left w:val="single" w:sz="6" w:color="D9D9E0"/>
              <w:bottom w:val="single" w:sz="6" w:color="D9D9E0"/>
              <w:right w:val="single" w:sz="6" w:color="D9D9E0"/>
            </w:tcBorders>
          </w:tcPr>
          <w:p>
            <w:pPr>
              <w:spacing w:before="50" w:after="50"/>
            </w:pPr>
            <w: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t>2026-09-18</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t>8-ticket probe on the committed default models: completed, but the free judge returned empty replies on about 40% of calls and the default drafting model turned out to be billed. B-22 Stage 5 revision log brought up to date and the four reflection questions answered. B-23 governance framework: risk register, fairness table, incident procedure, kill switch and position statements filled.</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5+6</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t>(in progress)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t>evaluation/results/b21_free_probe_20260918/; Stage 5 log v2.4; docs/Governance_Framework.docx sections 2-8.</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t>No free configuration has completed a validation run (D-01a).</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6   </w:t>
      </w:r>
      <w:r>
        <w:rPr>
          <w:b/>
          <w:color w:val="1A1A2E"/>
          <w:sz w:val="34"/>
        </w:rPr>
        <w:t>Estimates against reality</w:t>
      </w:r>
    </w:p>
    <w:p>
      <w:pPr>
        <w:spacing w:after="140"/>
      </w:pPr>
      <w:r>
        <w:rPr>
          <w:i w:val="0"/>
          <w:sz w:val="21"/>
        </w:rPr>
        <w:t>Pick the five largest items from your sprint plan and compare your estimate against what it took. This short table is one of the more revealing things in the whole submission, and it feeds directly into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Item</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Estimated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Actual hours</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the difference</w:t>
            </w:r>
          </w:p>
        </w:tc>
      </w:tr>
      <w:tr>
        <w:tc>
          <w:tcPr>
            <w:tcW w:type="dxa" w:w="3168"/>
            <w:tcBorders>
              <w:top w:val="single" w:sz="6" w:color="D9D9E0"/>
              <w:left w:val="single" w:sz="6" w:color="D9D9E0"/>
              <w:bottom w:val="single" w:sz="6" w:color="D9D9E0"/>
              <w:right w:val="single" w:sz="6" w:color="D9D9E0"/>
            </w:tcBorders>
          </w:tcPr>
          <w:p>
            <w:pPr>
              <w:spacing w:before="50" w:after="50"/>
            </w:pPr>
            <w:r>
              <w:rPr>
                <w:sz w:val="17"/>
              </w:rPr>
              <w:t>Read pack + build a working mental model</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4h</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3.5h</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Reading was faster than expected; the transcripts and workbook prompts are tightly written.</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Populate Stage 1 Discovery Workbook</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3h</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3.5h</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Close to estimate. The 12 tables took longer than the 8-table version I initially imagined.</w:t>
            </w:r>
          </w:p>
        </w:tc>
      </w:tr>
      <w:tr>
        <w:tc>
          <w:tcPr>
            <w:tcW w:type="dxa" w:w="3168"/>
            <w:tcBorders>
              <w:top w:val="single" w:sz="6" w:color="D9D9E0"/>
              <w:left w:val="single" w:sz="6" w:color="D9D9E0"/>
              <w:bottom w:val="single" w:sz="6" w:color="D9D9E0"/>
              <w:right w:val="single" w:sz="6" w:color="D9D9E0"/>
            </w:tcBorders>
          </w:tcPr>
          <w:p>
            <w:pPr>
              <w:spacing w:before="50" w:after="50"/>
            </w:pPr>
            <w:r>
              <w:rPr>
                <w:sz w:val="17"/>
              </w:rPr>
              <w:t>Ticket data forensics (Q1/Q2/Q4 resolution)</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2h</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2.5h</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Cross-tabulations on segment × outcome were more interesting than expected; several unexpected findings (enterprise-worst-tier, docs_comment channel gap) required extra probing.</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Populate Stage 2 PRD</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3h</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2.5h</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Faster than expected because the discovery evidence was well tagged; every FR could reach its trace quickly. The traceability audit pass added time back.</w:t>
            </w:r>
          </w:p>
        </w:tc>
      </w:tr>
      <w:tr>
        <w:tc>
          <w:tcPr>
            <w:tcW w:type="dxa" w:w="3168"/>
            <w:tcBorders>
              <w:top w:val="single" w:sz="6" w:color="D9D9E0"/>
              <w:left w:val="single" w:sz="6" w:color="D9D9E0"/>
              <w:bottom w:val="single" w:sz="6" w:color="D9D9E0"/>
              <w:right w:val="single" w:sz="6" w:color="D9D9E0"/>
            </w:tcBorders>
          </w:tcPr>
          <w:p>
            <w:pPr>
              <w:spacing w:before="50" w:after="50"/>
            </w:pPr>
            <w:r>
              <w:rPr>
                <w:sz w:val="17"/>
              </w:rPr>
              <w:t>Q3 retrieval pilot</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1h</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1.5h</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The container's proxy blocked the pack's default embedder, so pivoted to TF-IDF/BM25 which was actually more decisive as a Q3 answer. Extra 30 min for the pivot.</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p>
      <w:pPr>
        <w:spacing w:before="440" w:after="60"/>
        <w:pBdr>
          <w:bottom w:val="single" w:sz="8" w:space="6" w:color="E8660A"/>
        </w:pBdr>
      </w:pPr>
      <w:r>
        <w:rPr>
          <w:b/>
          <w:color w:val="E8660A"/>
          <w:sz w:val="34"/>
        </w:rPr>
        <w:t xml:space="preserve">7   </w:t>
      </w:r>
      <w:r>
        <w:rPr>
          <w:b/>
          <w:color w:val="1A1A2E"/>
          <w:sz w:val="34"/>
        </w:rPr>
        <w:t>Where the time went unexpectedly</w:t>
      </w:r>
    </w:p>
    <w:p>
      <w:pPr>
        <w:spacing w:after="140"/>
      </w:pPr>
      <w:r>
        <w:rPr>
          <w:i w:val="0"/>
          <w:sz w:val="21"/>
        </w:rPr>
        <w:t>Answer these in full sentences. They are short, and they will save you writing the reflection section from a blank page in your final week.</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Which task took far longer than you expected, and why?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t>Correcting the PRD's Discovery evidence column. I initially populated it with pack acceptance criteria (A1-A12) mixed in with EV-* tags, which broke the pack's traceability rule. Fixing it required rewriting the discovery-evidence cell for 24 FRs, adding evidence traces to 11 NFRs, and updating context tables — plus building a traceability audit script to catch the same error next time. About 2 hours of unnecessary rework caused by not running the audit pass before saving v1.</w:t>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task was easier than you expected, and why?</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t>The Q3 retrieval pilot. I expected the semantic embedder to matter a lot; the TF-IDF baseline hit 93.6% top-3, which is essentially solved retrieval on this corpus. The finding reshaped the PRD in about 15 minutes — the system's value proposition moved from 'better retrieval' to 'routing + generation + audit trail on top of already-good retrieval'.</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Which task caused you to change your plan mid-week, and why?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t>The Q3 pilot result. It exposed that the 'we're building better retrieval' framing was wrong. The value is in the drafting + escalation-context + guardrail + audit-log layer sitting above retrieval. Every subsequent choice — the D-06 agent pattern (Router + Self-RAG groundedness inline), the NFR-01a baseline (must beat 93.6%, not merely be positive), the problem statement's second paragraph — reshaped in response.</w:t>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task did you skip or defer, and what was the trigger?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t>Building src/classify.py, retrieve.py, route.py, generate.py, guardrails.py in Week 1. Trigger: I did the Setup Guide's index_docs.py, logging_store.py, metrics.py, and config.py stubs before the PRD was written, which was out of sequence per the pack's explicit warning. I stopped further src/ work to avoid committing to design decisions the PRD hadn't sanctioned. Component implementations are Week 2 activities.</w:t>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did you learn about your own estimation this week?</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t>I under-estimate discipline overhead — the time spent making sure requirements trace to evidence, ADRs record alternatives, and sections don't drift between documents. Actual writing of an FR takes 5 minutes; the audit + trace + rewrite loop takes another 5 minutes per FR and I didn't budget for it. Correction: for Week 2, add 20% to any 'writing' estimate to cover the discipline pass.</w:t>
            </w:r>
          </w:p>
        </w:tc>
      </w:tr>
    </w:tbl>
    <w:p>
      <w:pPr>
        <w:spacing w:after="80"/>
      </w:pPr>
    </w:p>
    <w:p>
      <w:pPr>
        <w:spacing w:before="440" w:after="60"/>
        <w:pBdr>
          <w:bottom w:val="single" w:sz="8" w:space="6" w:color="E8660A"/>
        </w:pBdr>
      </w:pPr>
      <w:r>
        <w:rPr>
          <w:b/>
          <w:color w:val="E8660A"/>
          <w:sz w:val="34"/>
        </w:rPr>
        <w:t xml:space="preserve">8   </w:t>
      </w:r>
      <w:r>
        <w:rPr>
          <w:b/>
          <w:color w:val="1A1A2E"/>
          <w:sz w:val="34"/>
        </w:rPr>
        <w:t>Declaration</w:t>
      </w:r>
    </w:p>
    <w:p>
      <w:pPr>
        <w:spacing w:after="140"/>
      </w:pPr>
      <w:r>
        <w:rPr>
          <w:i w:val="0"/>
          <w:sz w:val="21"/>
        </w:rPr>
        <w:t>Sign to confirm that this record is an accurate account of your own work on this project.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Full name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Signature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Date</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Total hours recorded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7"/>
              </w:rPr>
              <w:t>Alok Kulkarni</w:t>
            </w:r>
          </w:p>
        </w:tc>
        <w:tc>
          <w:tcPr>
            <w:tcW w:type="dxa" w:w="2736"/>
            <w:tcBorders>
              <w:top w:val="single" w:sz="6" w:color="D9D9E0"/>
              <w:left w:val="single" w:sz="6" w:color="D9D9E0"/>
              <w:bottom w:val="single" w:sz="6" w:color="D9D9E0"/>
              <w:right w:val="single" w:sz="6" w:color="D9D9E0"/>
            </w:tcBorders>
          </w:tcPr>
          <w:p>
            <w:pPr>
              <w:spacing w:before="50" w:after="50"/>
            </w:pPr>
            <w:r>
              <w:rPr>
                <w:sz w:val="17"/>
              </w:rPr>
              <w:t>(to sign on submission)</w:t>
            </w:r>
          </w:p>
        </w:tc>
        <w:tc>
          <w:tcPr>
            <w:tcW w:type="dxa" w:w="1584"/>
            <w:tcBorders>
              <w:top w:val="single" w:sz="6" w:color="D9D9E0"/>
              <w:left w:val="single" w:sz="6" w:color="D9D9E0"/>
              <w:bottom w:val="single" w:sz="6" w:color="D9D9E0"/>
              <w:right w:val="single" w:sz="6" w:color="D9D9E0"/>
            </w:tcBorders>
          </w:tcPr>
          <w:p>
            <w:pPr>
              <w:spacing w:before="50" w:after="50"/>
            </w:pPr>
            <w:r>
              <w:t>2026-09-18</w:t>
            </w:r>
          </w:p>
        </w:tc>
        <w:tc>
          <w:tcPr>
            <w:tcW w:type="dxa" w:w="2592"/>
            <w:tcBorders>
              <w:top w:val="single" w:sz="6" w:color="D9D9E0"/>
              <w:left w:val="single" w:sz="6" w:color="D9D9E0"/>
              <w:bottom w:val="single" w:sz="6" w:color="D9D9E0"/>
              <w:right w:val="single" w:sz="6" w:color="D9D9E0"/>
            </w:tcBorders>
          </w:tcPr>
          <w:p>
            <w:pPr>
              <w:spacing w:before="50" w:after="50"/>
            </w:pPr>
            <w:r>
              <w:t>~94.5 (34.5 recorded in week one; 60 estimated across weeks two and three from commit spans)</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Effort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