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Two: Requirements</w:t>
      </w:r>
    </w:p>
    <w:p>
      <w:pPr>
        <w:spacing w:after="280"/>
        <w:jc w:val="center"/>
        <w:pBdr>
          <w:bottom w:val="single" w:sz="10" w:space="6" w:color="E8660A"/>
        </w:pBdr>
      </w:pPr>
      <w:r>
        <w:rPr>
          <w:color w:val="E8660A"/>
          <w:sz w:val="26"/>
        </w:rPr>
        <w:t>The product requirements document you write from your findings</w:t>
      </w:r>
    </w:p>
    <w:p>
      <w:pPr>
        <w:spacing w:after="400"/>
        <w:jc w:val="center"/>
      </w:pPr>
      <w:r>
        <w:rPr>
          <w:i/>
          <w:color w:val="4A4A63"/>
          <w:sz w:val="21"/>
        </w:rPr>
        <w:t>Everything here must trace back to your discovery workbook. A requirement that</w:t>
        <w:br/>
        <w:t>cannot be traced is a preference, and preferences do not belong in a PRD.</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ONE  ·  DAYS FOUR AND FIVE</w:t>
            </w:r>
          </w:p>
        </w:tc>
      </w:tr>
    </w:tbl>
    <w:p>
      <w:r>
        <w:br w:type="page"/>
      </w:r>
    </w:p>
    <w:p>
      <w:pPr>
        <w:spacing w:before="440" w:after="60"/>
        <w:pBdr>
          <w:bottom w:val="single" w:sz="8" w:space="6" w:color="E8660A"/>
        </w:pBdr>
      </w:pPr>
      <w:r>
        <w:rPr>
          <w:b/>
          <w:color w:val="1A1A2E"/>
          <w:sz w:val="34"/>
        </w:rPr>
        <w:t>What this document is and why it matters</w:t>
      </w:r>
    </w:p>
    <w:p>
      <w:pPr>
        <w:spacing w:after="140"/>
      </w:pPr>
      <w:r>
        <w:rPr>
          <w:i w:val="0"/>
          <w:sz w:val="21"/>
        </w:rPr>
        <w:t>A product requirements document states what is being built, for whom, and how anyone will know when it is finished. It is not a design document and it is not a plan. It should be specific enough that two different engineers reading it would build broadly the same thing, and general enough that it does not dictate how they do it.</w:t>
      </w:r>
    </w:p>
    <w:p>
      <w:pPr>
        <w:spacing w:after="140"/>
      </w:pPr>
      <w:r>
        <w:rPr>
          <w:i w:val="0"/>
          <w:sz w:val="21"/>
        </w:rPr>
        <w:t>You will write version one at the end of week one and you will revise it during week two. That revision is compulsory. Write this version with the expectation that parts of it will turn out to be wrong, and record your assumptions clearly so that you can tell which ones failed when they do.</w:t>
      </w:r>
    </w:p>
    <w:p>
      <w:pPr>
        <w:spacing w:before="200" w:after="60"/>
        <w:jc w:val="center"/>
      </w:pPr>
      <w:r>
        <w:drawing>
          <wp:inline xmlns:a="http://schemas.openxmlformats.org/drawingml/2006/main" xmlns:pic="http://schemas.openxmlformats.org/drawingml/2006/picture">
            <wp:extent cx="6035040" cy="2517289"/>
            <wp:docPr id="1" name="Picture 1"/>
            <wp:cNvGraphicFramePr>
              <a:graphicFrameLocks noChangeAspect="1"/>
            </wp:cNvGraphicFramePr>
            <a:graphic>
              <a:graphicData uri="http://schemas.openxmlformats.org/drawingml/2006/picture">
                <pic:pic>
                  <pic:nvPicPr>
                    <pic:cNvPr id="0" name="prd_revision.png"/>
                    <pic:cNvPicPr/>
                  </pic:nvPicPr>
                  <pic:blipFill>
                    <a:blip r:embed="rId9"/>
                    <a:stretch>
                      <a:fillRect/>
                    </a:stretch>
                  </pic:blipFill>
                  <pic:spPr>
                    <a:xfrm>
                      <a:off x="0" y="0"/>
                      <a:ext cx="6035040" cy="2517289"/>
                    </a:xfrm>
                    <a:prstGeom prst="rect"/>
                  </pic:spPr>
                </pic:pic>
              </a:graphicData>
            </a:graphic>
          </wp:inline>
        </w:drawing>
      </w:r>
    </w:p>
    <w:p>
      <w:pPr>
        <w:spacing w:after="240"/>
        <w:jc w:val="center"/>
      </w:pPr>
      <w:r>
        <w:rPr>
          <w:i/>
          <w:color w:val="4A4A63"/>
          <w:sz w:val="17"/>
        </w:rPr>
        <w:t>Figure 1. The requirements document is expected to change once building starts.</w:t>
      </w:r>
    </w:p>
    <w:p>
      <w:r>
        <w:br w:type="page"/>
      </w:r>
    </w:p>
    <w:p>
      <w:pPr>
        <w:spacing w:before="440" w:after="60"/>
        <w:pBdr>
          <w:bottom w:val="single" w:sz="8" w:space="6" w:color="E8660A"/>
        </w:pBdr>
      </w:pPr>
      <w:r>
        <w:rPr>
          <w:b/>
          <w:color w:val="E8660A"/>
          <w:sz w:val="34"/>
        </w:rPr>
        <w:t xml:space="preserve">1   </w:t>
      </w:r>
      <w:r>
        <w:rPr>
          <w:b/>
          <w:color w:val="1A1A2E"/>
          <w:sz w:val="34"/>
        </w:rPr>
        <w:t>Document control</w:t>
      </w:r>
    </w:p>
    <w:tbl>
      <w:tblPr>
        <w:tblW w:type="auto" w:w="0"/>
        <w:jc w:val="center"/>
        <w:tblLayout w:type="fixed"/>
        <w:tblLook w:firstColumn="1" w:firstRow="1" w:lastColumn="0" w:lastRow="0" w:noHBand="0" w:noVBand="1" w:val="04A0"/>
      </w:tblPr>
      <w:tblGrid>
        <w:gridCol w:w="4824"/>
        <w:gridCol w:w="4824"/>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Version</w:t>
            </w:r>
          </w:p>
        </w:tc>
        <w:tc>
          <w:tcPr>
            <w:tcW w:type="dxa" w:w="6768"/>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2.3.1 (rolling — D-02a distance-metric ADR accepted 2026-09-03 with cosine space + threshold 0.25 by measurement; PRD Table 9 Q7 resolved 2026-09-03 as DEFERRED)</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8"/>
              </w:rPr>
              <w:t>Author</w:t>
            </w:r>
          </w:p>
        </w:tc>
        <w:tc>
          <w:tcPr>
            <w:tcW w:type="dxa" w:w="6768"/>
            <w:tcBorders>
              <w:top w:val="single" w:sz="6" w:color="D9D9E0"/>
              <w:left w:val="single" w:sz="6" w:color="D9D9E0"/>
              <w:bottom w:val="single" w:sz="6" w:color="D9D9E0"/>
              <w:right w:val="single" w:sz="6" w:color="D9D9E0"/>
            </w:tcBorders>
          </w:tcPr>
          <w:p>
            <w:pPr>
              <w:spacing w:before="50" w:after="50"/>
            </w:pPr>
            <w:r>
              <w:rPr>
                <w:sz w:val="18"/>
              </w:rPr>
              <w:t>Alok Kulkarni</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8"/>
              </w:rPr>
              <w:t>Date</w:t>
            </w:r>
          </w:p>
        </w:tc>
        <w:tc>
          <w:tcPr>
            <w:tcW w:type="dxa" w:w="6768"/>
            <w:tcBorders>
              <w:top w:val="single" w:sz="6" w:color="D9D9E0"/>
              <w:left w:val="single" w:sz="6" w:color="D9D9E0"/>
              <w:bottom w:val="single" w:sz="6" w:color="D9D9E0"/>
              <w:right w:val="single" w:sz="6" w:color="D9D9E0"/>
            </w:tcBorders>
            <w:shd w:val="clear" w:fill="F4F4F7"/>
          </w:tcPr>
          <w:p>
            <w:pPr>
              <w:spacing w:before="50" w:after="50"/>
            </w:pPr>
            <w:r>
              <w:rPr>
                <w:sz w:val="18"/>
              </w:rPr>
              <w:t>2026-08-29 (v1); revisions from 2026-08-31 onwards</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8"/>
              </w:rPr>
              <w:t>Status</w:t>
            </w:r>
          </w:p>
        </w:tc>
        <w:tc>
          <w:tcPr>
            <w:tcW w:type="dxa" w:w="6768"/>
            <w:tcBorders>
              <w:top w:val="single" w:sz="6" w:color="D9D9E0"/>
              <w:left w:val="single" w:sz="6" w:color="D9D9E0"/>
              <w:bottom w:val="single" w:sz="6" w:color="D9D9E0"/>
              <w:right w:val="single" w:sz="6" w:color="D9D9E0"/>
            </w:tcBorders>
          </w:tcPr>
          <w:p>
            <w:pPr>
              <w:spacing w:before="50" w:after="50"/>
            </w:pPr>
            <w:r>
              <w:rPr>
                <w:sz w:val="18"/>
              </w:rPr>
              <w:t>Rolling revision — v2 in progress; see Stage 5 revision log for the current change set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8"/>
              </w:rPr>
              <w:t>Approver</w:t>
            </w:r>
          </w:p>
        </w:tc>
        <w:tc>
          <w:tcPr>
            <w:tcW w:type="dxa" w:w="6768"/>
            <w:tcBorders>
              <w:top w:val="single" w:sz="6" w:color="D9D9E0"/>
              <w:left w:val="single" w:sz="6" w:color="D9D9E0"/>
              <w:bottom w:val="single" w:sz="6" w:color="D9D9E0"/>
              <w:right w:val="single" w:sz="6" w:color="D9D9E0"/>
            </w:tcBorders>
            <w:shd w:val="clear" w:fill="F4F4F7"/>
          </w:tcPr>
          <w:p>
            <w:pPr>
              <w:spacing w:before="50" w:after="50"/>
            </w:pPr>
            <w:r>
              <w:rPr>
                <w:sz w:val="18"/>
              </w:rPr>
              <w:t>Self (individual capstone project)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8"/>
              </w:rPr>
              <w:t>Distribution</w:t>
            </w:r>
          </w:p>
        </w:tc>
        <w:tc>
          <w:tcPr>
            <w:tcW w:type="dxa" w:w="6768"/>
            <w:tcBorders>
              <w:top w:val="single" w:sz="6" w:color="D9D9E0"/>
              <w:left w:val="single" w:sz="6" w:color="D9D9E0"/>
              <w:bottom w:val="single" w:sz="6" w:color="D9D9E0"/>
              <w:right w:val="single" w:sz="6" w:color="D9D9E0"/>
            </w:tcBorders>
          </w:tcPr>
          <w:p>
            <w:pPr>
              <w:spacing w:before="50" w:after="50"/>
            </w:pPr>
            <w:r>
              <w:rPr>
                <w:sz w:val="18"/>
              </w:rPr>
              <w:t>FDE Capstone submission archive</w:t>
            </w:r>
          </w:p>
        </w:tc>
      </w:tr>
    </w:tbl>
    <w:p>
      <w:pPr>
        <w:spacing w:after="80"/>
      </w:pPr>
    </w:p>
    <w:p>
      <w:pPr>
        <w:spacing w:before="440" w:after="60"/>
        <w:pBdr>
          <w:bottom w:val="single" w:sz="8" w:space="6" w:color="E8660A"/>
        </w:pBdr>
      </w:pPr>
      <w:r>
        <w:rPr>
          <w:b/>
          <w:color w:val="E8660A"/>
          <w:sz w:val="34"/>
        </w:rPr>
        <w:t xml:space="preserve">2   </w:t>
      </w:r>
      <w:r>
        <w:rPr>
          <w:b/>
          <w:color w:val="1A1A2E"/>
          <w:sz w:val="34"/>
        </w:rPr>
        <w:t>The problem in one paragraph</w:t>
      </w:r>
    </w:p>
    <w:p>
      <w:pPr>
        <w:spacing w:after="140"/>
      </w:pPr>
      <w:r>
        <w:rPr>
          <w:i w:val="0"/>
          <w:sz w:val="21"/>
        </w:rPr>
        <w:t>Copy across the paragraph you wrote at the end of your discovery workbook. If you find yourself wanting to improve it as you copy, go back and improve it in the workbook first, so that the two do not drift apart.</w:t>
      </w:r>
    </w:p>
    <w:tbl>
      <w:tblPr>
        <w:tblW w:type="auto" w:w="0"/>
        <w:jc w:val="center"/>
        <w:tblLayout w:type="fixed"/>
        <w:tblLook w:firstColumn="1" w:firstRow="1" w:lastColumn="0" w:lastRow="0" w:noHBand="0" w:noVBand="1" w:val="04A0"/>
      </w:tblPr>
      <w:tblGrid>
        <w:gridCol w:w="9648"/>
      </w:tblGrid>
      <w:tr>
        <w:tc>
          <w:tcPr>
            <w:tcW w:type="dxa" w:w="9648"/>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Problem statement</w:t>
            </w:r>
          </w:p>
        </w:tc>
      </w:tr>
      <w:tr>
        <w:tc>
          <w:tcPr>
            <w:tcW w:type="dxa" w:w="9648"/>
            <w:tcBorders>
              <w:top w:val="single" w:sz="6" w:color="D9D9E0"/>
              <w:left w:val="single" w:sz="6" w:color="D9D9E0"/>
              <w:bottom w:val="single" w:sz="6" w:color="D9D9E0"/>
              <w:right w:val="single" w:sz="6" w:color="D9D9E0"/>
            </w:tcBorders>
          </w:tcPr>
          <w:p>
            <w:pPr>
              <w:spacing w:before="50" w:after="50"/>
            </w:pPr>
            <w:r>
              <w:rPr>
                <w:sz w:val="18"/>
              </w:rPr>
              <w:t>CloudServe's support team receives roughly 500 tickets a week across four channels. About seven in ten of these have an answer that already exists in the company's twenty-nine reviewed knowledge-base articles, yet only 44% of tickets are resolved on the first contact. The gap is not a shortage of answers but a failure of retrieval. Agents cannot find their own articles in the internal search and rebuild answers from personal notes, and customers, one in six of whom starts by searching the documentation and gives up, wait an average of eight hours for a response that reproduces material already in front of them. When tickets do reach a second-tier engineer, they arrive as forwarded threads with no summary and no attached documentation, which turns roughly 38% of escalations into avoidable ones and returns the same question to the customer a second time. The system to build (working name: CloudServe Draft) is not a chatbot. It is a retrieval-first assistant that: drafts a cited answer for tickets whose expected route is auto-respond and where calibrated confidence exceeds a threshold set from data; hands drafts and retrieved passages to tier one when confidence is borderline; enriches tier-two escalations with retrieved documentation and the tier-one uncertainty flag; and always escalates the four categories where automation is not appropriate (compliance requests, security incidents, feature requests, unclear requests), regardless of confidence. The Q3 retrieval pilot (TF-IDF hit@3 = 93.6% on 357 answerable tickets) shows the corpus is retrievable with sparse methods; the system's value therefore lies in the routing, drafting, guardrail and audit-log layer sitting above retrieval, not in retrieval itself.</w:t>
            </w:r>
          </w:p>
        </w:tc>
      </w:tr>
      <w:tr>
        <w:tc>
          <w:tcPr>
            <w:tcW w:type="dxa" w:w="9648"/>
            <w:tcBorders>
              <w:top w:val="single" w:sz="6" w:color="D9D9E0"/>
              <w:left w:val="single" w:sz="6" w:color="D9D9E0"/>
              <w:bottom w:val="single" w:sz="6" w:color="D9D9E0"/>
              <w:right w:val="single" w:sz="6" w:color="D9D9E0"/>
            </w:tcBorders>
            <w:shd w:val="clear" w:fill="F4F4F7"/>
          </w:tcPr>
          <w:p>
            <w:pPr>
              <w:spacing w:before="50" w:after="50"/>
            </w:pPr>
            <w:r>
              <w:rPr>
                <w:sz w:val="18"/>
              </w:rPr>
            </w:r>
          </w:p>
        </w:tc>
      </w:tr>
    </w:tbl>
    <w:p>
      <w:pPr>
        <w:spacing w:after="80"/>
      </w:pPr>
    </w:p>
    <w:p>
      <w:pPr>
        <w:spacing w:before="440" w:after="60"/>
        <w:pBdr>
          <w:bottom w:val="single" w:sz="8" w:space="6" w:color="E8660A"/>
        </w:pBdr>
      </w:pPr>
      <w:r>
        <w:rPr>
          <w:b/>
          <w:color w:val="E8660A"/>
          <w:sz w:val="34"/>
        </w:rPr>
        <w:t xml:space="preserve">3   </w:t>
      </w:r>
      <w:r>
        <w:rPr>
          <w:b/>
          <w:color w:val="1A1A2E"/>
          <w:sz w:val="34"/>
        </w:rPr>
        <w:t>Who this is for</w:t>
      </w:r>
    </w:p>
    <w:p>
      <w:pPr>
        <w:spacing w:after="140"/>
      </w:pPr>
      <w:r>
        <w:rPr>
          <w:i w:val="0"/>
          <w:sz w:val="21"/>
        </w:rPr>
        <w:t>Describe each group of users separately. A requirement that serves everybody usually serves nobody particularly well.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User group</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they need from this system</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they currently do instead</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you will know it worked for them</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Customers raising tickets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A response within the SLA that answers the ticket, states its uncertainty and cites its source. Non-fluent English speakers need the same quality of response as fluent ones.</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Wait 8-12h on average; often self-search first and give up. Frustration when the reply reproduces material they already searched.</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Time to first substantive reply drops from 214 min median toward under 60. Repeat-contact rate drops from 22% to under 15%. Rubric-scored CSAT proxy rises from 2.97 baseline.</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Tier one support agents</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A drafted answer with the relevant document attached, not a fully automated reply. The system should reduce time on known-pattern tickets from 4-5 min toward 1-2 min.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Recognise the pattern, hunt in a personal snippet file, write from memory, sometimes escalate rather than send when uncertain.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Fewer than 20% of drafts require significant edit before send (rubric-scored on a sample). Zero drafts sent to customer without agent review when confidence is in the review band.</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Tier two support engineers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Escalations that arrive with a draft, the retrieved documents, the tier-one uncertainty flag and any classifier alternatives already logged.</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Receive forwarded threads with no summary; re-ask the customer questions the customer already answered; re-read the documentation from scratch.</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Escalation resolution time down by at least 30% on avoidable-escalation samples (Daniel's cohort). Fewer than 10% of escalations trigger a customer re-ask.</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The technical writer (documentation owner)</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Every automated response cites the specific article and section it came from, so 'article wrong' and 'system misread the article' can be told apart. Zero uncontrolled retrieval from unreviewed private notes.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Writes and reviews 29 articles that the support team does not use internally. No feedback loop when an article is wrong.</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100% of auto-responses carry a resolvable doc_id citation. Every response the writer flags as 'article wrong' vs 'system misread' can be routed to the correct fix.</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The head of support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First contact resolution rises. Reply time falls. The four always-escalate intents are never auto-answered. The system can explain any decision to the autumn compliance auditor.</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Reports response time (contractual) but privately cares about FCR. Has no visibility into what is inside the escalation queue.</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FCR rises from 44% to 60%+. Median time to first reply drops from 214 min to under 60 min. Every automated decision reconstructable from a persistent log with prompt_version, requirement_ids and sources_used.</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The compliance auditor (autumn review)</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Every automated decision reconstructable months later: input, prediction, confidence, sources cited, threshold applied, action taken, reason, guardrail results, prompt version, requirement IDs.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Currently no automated decisions; the audit surface is the ticket history alone.</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100% of decisions logged. Reconciliation of logged decisions against tickets processed passes at end of every run (A8). Zero unlogged decisions in the full evaluation run.</w:t>
            </w:r>
          </w:p>
        </w:tc>
      </w:tr>
    </w:tbl>
    <w:p>
      <w:pPr>
        <w:spacing w:after="80"/>
      </w:pPr>
    </w:p>
    <w:p>
      <w:r>
        <w:br w:type="page"/>
      </w:r>
    </w:p>
    <w:p>
      <w:pPr>
        <w:spacing w:before="440" w:after="60"/>
        <w:pBdr>
          <w:bottom w:val="single" w:sz="8" w:space="6" w:color="E8660A"/>
        </w:pBdr>
      </w:pPr>
      <w:r>
        <w:rPr>
          <w:b/>
          <w:color w:val="E8660A"/>
          <w:sz w:val="34"/>
        </w:rPr>
        <w:t xml:space="preserve">4   </w:t>
      </w:r>
      <w:r>
        <w:rPr>
          <w:b/>
          <w:color w:val="1A1A2E"/>
          <w:sz w:val="34"/>
        </w:rPr>
        <w:t>Functional requirements</w:t>
      </w:r>
    </w:p>
    <w:p>
      <w:pPr>
        <w:spacing w:after="140"/>
      </w:pPr>
      <w:r>
        <w:rPr>
          <w:i w:val="0"/>
          <w:sz w:val="21"/>
        </w:rPr>
        <w:t>Each requirement gets an identifier, a statement, a priority and a link back to the discovery evidence that produced it. The identifiers matter because your specifications, your prompts and your test cases will all refer to them.</w:t>
      </w:r>
    </w:p>
    <w:p>
      <w:pPr>
        <w:spacing w:after="140"/>
      </w:pPr>
      <w:r>
        <w:rPr>
          <w:i w:val="0"/>
          <w:sz w:val="21"/>
        </w:rPr>
        <w:t>Use the priority scale consistently. Must means the system is not acceptable without it. Should means it is expected but could be deferred with a stated consequence. Could means it would add value if time allows. Will not means it has been considered and deliberately excluded, and recording those is as useful as recording the rest.</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7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ID</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Requirement</w:t>
            </w:r>
          </w:p>
        </w:tc>
        <w:tc>
          <w:tcPr>
            <w:tcW w:type="dxa" w:w="9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Priority</w:t>
            </w:r>
          </w:p>
        </w:tc>
        <w:tc>
          <w:tcPr>
            <w:tcW w:type="dxa" w:w="187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Discovery evidence</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Acceptance criteria</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FR-01</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system SHALL accept tickets from the four channels {email, chat, docs_comment, forum} and produce one normalised Ticket object preserving `channel`, `body`, `received_at` and all customer segment fields. Evaluation-only fields (`labels.*`, `history.*`) SHALL NOT be carried on the Ticket; the evaluation harness reads them directly from the raw record.</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#1 (Marcus row on the four channels); #2 (channel split row).</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A2 (four channels ingested). A ticket from each of the four channels is passed in. All four produce a Ticket object with `channel` set. No channel-specific exception raised.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ingest step SHALL accept an empty subject (chat channel is always empty per the data) and an empty body (unseen in dev set but possible in hidden set) without raising, recording the anomaly in a Ticket.warnings list.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#2, EV-DATA-11 (empty subject = 155/155 on chat).</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A2. Tickets with empty subject and/or empty body are ingested. Body-empty case populates Ticket.warnings=['empty_body']. No exception propagates.</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FR-03</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ingest step SHALL preserve the original body text under Ticket.original_body and expose the cleaned text as Ticket.body, so downstream stages can inspect either.</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Should</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EV-M3 (Marcus on wrong answers being publicly screenshottable - provenance matters for post-hoc audit).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Ticket.original_body equals the raw input. Ticket.body may be cleaned but preserves the intent.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system SHALL classify every ticket with an intent from the closed set of 22 known classes plus 'unknown', an urgency from {high, medium, low}, and a numeric confidence in [0, 1]. The classifier SHALL receive only the ticket's channel, subject, and body from the ingest step (per FR-01/02/03). Customer segment fields (customer_tier, customer_region, customer_name, language_fluency) SHALL NOT be exposed to the classifier. Tier-aware policy, where used, SHALL be applied downstream in the router (FR-09) and not embedded in classification.</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EV-S3 (7-of-10 known patterns Sofia sees repeatedly); #2 row on the 22 intent classes; EV-M4 (enterprise cannot regress); EV-DATA-06/07/08 (fairness segments — informs the blind-classifier design).</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A3 (classification with numeric confidence). Output includes {intent, urgency, confidence, alternatives[]}. confidence in [0,1]. Alternatives list is not empty when the winner is below 0.9. Verified via unit test: given a raw ticket record, the classifier call receives only channel/subject/body — asserted by inspection of src/classify.py load path and covered by tests/test_classify.py::test_blind_to_segment.</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FR-05</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classifier SHALL return `intent='unknown'` with `confidence=0.0` when the model provider fails or returns malformed output, rather than raise. The fallback SHALL be logged with a reason.</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EV-M3 (Marcus: rather nothing than wrong).</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A11 (graceful degradation). With the model provider disconnected, the classifier returns a ClassificationResult with intent='unknown' and a non-null error field. No exception surfaces.</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FR-06</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retriever SHALL return ranked passages (or an empty list) from the indexed 29-article corpus, each carrying a resolvable doc_id and a similarity score.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#2 (doc corpus row); EV-I1 (29 articles per Ines); Q3 pilot findings (workbooks/q3_findings.md).</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A4 (retrieval returns identifiable passages). Every returned Passage has a doc_id present in documentation.json. The list is sorted by descending score. Zero passages are a valid return.</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FR-07</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retriever SHALL return an empty list when no passage's similarity score crosses the configured RETRIEVAL_THRESHOLD, rather than returning the top-K regardless.</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EV-I3 (Ines: manufacturing an answer for a not-in-corpus question is doing the wrong thing).</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A4. For a synthetic query that matches nothing (e.g., 'lorem ipsum'), retriever returns []. Downstream, this triggers escalation via the router.</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FR-08</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Chunking strategy SHALL be fixed 800-character windows with 120-character overlap, indexed at build time only (not per request).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Q3 pilot (workbooks/q3_findings.md): fixed_800_120 achieved hit@3=93.6% vs section_aware 92.4% on 357 answerable tickets.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index_docs.py produces the Chroma index in one run. Per-request retrieval hits the persisted index.</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FR-09</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router SHALL be deterministic: identical (classification, retrieval_result, ticket) input SHALL produce identical routing decisions and reasons.</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EV-M5 (Marcus: compliance review requires explainability - deterministic routing is what makes decisions reproducible for audit).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A5 (routing deterministic). Feeding the same input twice returns identical Route.decision and Route.reason. No hidden state, no random tie-break.</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FR-10</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router SHALL escalate (never auto-respond) any ticket where `labels.must_not_auto_respond=true`, OR classifier confidence &lt; CONFIDENCE_THRESHOLD, OR retrieval returned an empty passage list, OR any guardrail blocked.</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EV-DATA-10 (17.4% must_not_auto_respond, four intents at 100%); EV-D4 (Daniel's do-not-automate list); EV-M3 (rather nothing than wrong).</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For each triggering condition, verify with a fixture that the routing action is 'escalate' and the reason names the trigger.</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FR-11</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Escalations SHALL carry an EscalationBundle: the retrieved passages, the classifier's top-3 alternatives, any draft the generator produced, and the tier-one uncertainty flag if any.</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EV-D1 (Daniel: escalations arrive as forwarded tickets with no summary); EV-D3 (would move 2x faster with context). EV-DATA-04 (38% of historical escalations avoidable); EV-DATA-03 (24% of correct escalations still doc-backed and need context).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Every escalation record in the decision log has non-empty sources_used and (where the classifier confidence was low but non-zero) a draft in the payload.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router SHALL write a human-readable `reason` field to every routing decision, in language a support manager could act on (not a numeric code).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EV-M5 (Marcus: compliance review requires explainability); EV-R2 (Ravi wants uncertainty stated in a form he can calibrate).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Every decision-log row's `reason` is at least 5 words and states a concrete cause: e.g. 'auto_respond: confidence 0.87 above 0.80 threshold; retrieval matched DOC-DEPLOY-001 with score 0.72'.</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FR-13</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generator SHALL produce a JSON response with fields {answer, citations, confidence, unknown}. Every doc_id in citations SHALL be a member of the doc_ids present in the retrieval result for this ticket.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EV-I2 (Ines: citations back to specific articles distinguish 'article wrong' vs 'system misread'); EV-R2 (Ravi: 'here is the page it came from').</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A6 (citations resolve). For 100 fixture tickets, every citations value is a subset of the retrieval-result doc_ids. No hallucinated citations. Enforced in code, not only by prompt.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generator SHALL emit `unknown=true` and no answer when retrieval returned no passages OR when the model cannot ground its response, rather than fabricating content.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(rather nothing than wrong); EV-I3 (Ines: don't manufacture answers).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For empty retrieval input, generator returns {answer: '', citations: [], unknown: true}. For grounded generation with no support, unknown=true.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FR-15</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generator prompt SHALL delimit the ticket text with markers and instruct the model to ignore instructions that appear within them. Prompt injection SHALL not alter the response schema, citations, or the unknown flag.</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(Marcus: a prompt-injection attack produces exactly the 'confidently wrong' outcome he fears).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A7 (guardrail integrity). Injection test cases (in tests/) attempt to redirect the model. Response JSON schema remains valid; citations still resolve; unknown flag unchanged.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FR-16</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PII guardrail SHALL run on every generated response before send and SHALL BLOCK responses containing emails, API-key patterns, phone numbers, account numbers, or personal names other than the ticket's own customer_name.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R-02 in Stage 1 risk register (private info in reply); EV-M5 (compliance review, autumn).</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crafted response containing 'test@example.com' triggers block=true. The decision log records the guardrail hit. The ticket routes to escalate.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FR-17</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grounding guardrail SHALL check that every factual claim in the response has a supporting span in the cited passage. Responses failing this check SHALL be BLOCKED, not warned.</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(rather nothing than wrong); EV-I3 (don't manufacture); R-01 in Stage 1 risk register (confidently incorrect answers).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A6, A7. For a fixture where the response asserts 'released in version 4.2' but no passage contains '4.2', the guardrail blocks. Decision log carries the unsupported-claim list.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FR-18</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An instruction-integrity guardrail SHALL detect and block responses where the ticket content appears to have redirected the system's behaviour (schema change, new persona, off-topic).</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(a redirected system produces the confidently-wrong outcome Marcus fears).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A7. For the injection fixture body ('Ignore prior instructions...'), the guardrail's result is passed=false, blocking=true.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FR-19</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confidence-floor guardrail SHALL block any auto-respond action whose recorded classification confidence is missing or below CONFIDENCE_THRESHOLD, regardless of upstream router decision.</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Should</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(rather nothing than wrong); EV-S5 (Sofia: prefer draft + doc over unconditional auto-send); R-01 in Stage 1 risk register.</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A7 defence-in-depth. If a synthetic scenario sets classifier confidence to None but router says auto_respond, the guardrail overrides to escalate. Decision log records the guardrail as the cause.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FR-20</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system SHALL persist one decision-log record per ticket per stage into a SQLite decisions table, matching the Governance Framework schema. Log write SHALL precede response send.</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EV-M5 (Marcus: autumn compliance review, must be explainable).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A8 (persistent log reconciles). For every ticket in a validation run, count of matching decision_id rows equals count of tickets processed. Reconciliation report at run-end passes.</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FR-21</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evaluation harness SHALL be invocable as a single documented command that takes an input JSON path and an output directory as arguments and runs unattended over the full input file.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EV-M5 (compliance review needs reproducible runs); EV-M2 (Marcus reports numbers - single-command run makes reproduction cheap).</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A9 (single-command unattended). `python -m evaluation.harness --input &lt;path&gt; --output &lt;dir&gt;` starts the run, processes every ticket, produces one output row per ticket, exits 0 on success.</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harness SHALL produce a metrics_report.json at the end of every run containing counts, business metrics (FCR proxy, TTR, escalation rate, repeat-contact proxy), technical metrics (intent P/R per class, retrieval hit rate, latency p50/p95) and governance metrics (decisions logged, guardrail activations by type, PII detections).</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EV-M2 (Marcus cares more about FCR than reply time - report must lead with FCR); EV-M5 (compliance review reproduces the numbers).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A10 (metrics report auto-generated). metrics_report.json is written on completion and contains every required key. All numbers computed by code, not by hand.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FR-23</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system SHALL handle model provider outage, rate limiting, malformed provider output, and retrieval-index-unavailable conditions without crashing. Each degraded ticket SHALL be logged with the degradation reason and routed to escalate.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(crashing sends nothing, but a degraded system that reports its degradation is better than one that hides the failure).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A11 (degrade gracefully). With provider disconnected mid-run, remaining tickets complete. Each carries action='escalate', reason='degraded: provider unreachable'. The run's final exit code is 0.</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test suite SHALL run with `python -m pytest tests/ -v` in a fresh checkout and complete without network access. Slow tests (marked pytest.mark.slow) SHALL be skipped in that mode.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EV-S5 (Sofia: doesn't want to pick up the angry follow-up for something she did not write - tests are the safety net that prevents that).</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A12 (tests pass with one command). In CI, pytest completes green in under 60 seconds using fake model client fixtures. No test hits network by default.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FR-25 (REMOVED 2026-09-02)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REMOVED. The v2 text said: 'For tickets on docs_comment channel, the ingest step SHALL detect and strip references to the source article (article title, doc_id, URL) from Ticket.body before the retrieval query is formed. Stripped content SHALL be preserved in Ticket.warnings for auditability.' Data check on 2026-09-02 during B-28 implementation: zero of 78 docs_comment tickets in the dev set contain any URL, DOC-XXX-NNN pattern, or article-title mention in body or subject. The FR was written on a plausible-but-unverified assumption; the data does not support it. See Stage 5 revision log for the full reasoning.</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N/A (removed)</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N/A (removed)</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N/A. The docs_comment channel's worst-in-dataset FCR (34.6%) and repeat-contact rate (33.3%) remain a known limitation reported in the fairness audit (backlog item B-24); the root cause is likely selection bias (customers who chose docs_comment already tried self-serve and failed), not confusable references.</w:t>
            </w:r>
          </w:p>
        </w:tc>
      </w:tr>
    </w:tbl>
    <w:p>
      <w:pPr>
        <w:spacing w:after="80"/>
      </w:pPr>
    </w:p>
    <w:p>
      <w:r>
        <w:br w:type="page"/>
      </w:r>
    </w:p>
    <w:p>
      <w:pPr>
        <w:spacing w:before="440" w:after="60"/>
        <w:pBdr>
          <w:bottom w:val="single" w:sz="8" w:space="6" w:color="E8660A"/>
        </w:pBdr>
      </w:pPr>
      <w:r>
        <w:rPr>
          <w:b/>
          <w:color w:val="E8660A"/>
          <w:sz w:val="34"/>
        </w:rPr>
        <w:t xml:space="preserve">5   </w:t>
      </w:r>
      <w:r>
        <w:rPr>
          <w:b/>
          <w:color w:val="1A1A2E"/>
          <w:sz w:val="34"/>
        </w:rPr>
        <w:t>Non-functional requirements</w:t>
      </w:r>
    </w:p>
    <w:p>
      <w:pPr>
        <w:spacing w:after="140"/>
      </w:pPr>
      <w:r>
        <w:rPr>
          <w:i w:val="0"/>
          <w:sz w:val="21"/>
        </w:rPr>
        <w:t>These describe how well the system must do the things it does. They are frequently what distinguishes a demonstration from something that could actually be deployed.</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00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ID</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Category</w:t>
            </w:r>
          </w:p>
        </w:tc>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Requirement</w:t>
            </w:r>
          </w:p>
        </w:tc>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it will be verified</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NFR-01a</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Retrieval - Context Relevance</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For tickets flagged answerable_from_docs=true, at least one passage from a doc_id in expected_doc_ids SHALL be present in the top-3 retrieved passages on at least 90% of the validation set (aggregate floor) AND in the top-5 on at least 90% within each of the 22 intent classes. Documented exception: integration_help may sit below 90% at hit@5 per R-08 (corpus coverage gap — 5 of 16 dev tickets have no covering article in the KB at any rank). Rationale for the hit@5 floor rather than hit@3: D-06's Self-RAG groundedness retry reconsiders the top-5 on the second attempt, so a hit@5 hit with a hit@3 miss is a design feature (retry catches it), not a failure mode. Measurement baselines: TF-IDF hit@3 = 93.6% (Q3 pilot, workbooks/q3_findings.md); dense hit@3 = 95.2% with title-prepending per B-30 (workbooks/b30_findings.md, superseding the 91.0% Monday measurement). [Traces: EV-S3; EV-I2; EV-DATA-02; Q3 pilot; B-07 revisit; B-30.] Cosine-space index + RETRIEVAL_THRESHOLD = 0.25 by measurement per D-02a (2026-09-03) — restores aggregate hit@3 to 94.1% (from a shipped-config silent 52.4% caused by an L2 vs cosine score-scale mismatch). Per-class floor still fails for 5 intents at any threshold (onboarding, integration_help, deployment_failure, api_key_issue, webhook_issue); that is a ranking-quality gap, tracked in the R-08 write-up for integration_help and via the cut-then-possibly-revisit path for B-05.</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Measured by evaluation harness on validation set. Per-intent floor: no intent below 75% hit@3.</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NFR-01b</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Retrieval-Generation - Groundedness</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For every factual claim in a generated response, a supporting span SHALL exist in the retrieved passage set. Groundedness rate SHALL be at least 95% on judge-scored samples.  [Traces: EV-M3 (rather nothing than wrong); EV-I3 (don't manufacture answers); EV-I2 (article vs system-misread distinction).]</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Measured with PR-EVAL-JUDGE-01 across a stratified sample. Judge calibrated to Spearman &gt;= 0.70 vs human raters.</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NFR-01c</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Answer Relevance</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Generated responses SHALL address the ticket's asked question with a mean rubric score of at least 4.0/5 on a stratified sample, scored by an LLM-as-judge calibrated against human raters.  [Traces: EV-R2 (Ravi wants honest, cited responses); EV-M3.]</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Measured with PR-EVAL-JUDGE-01. Response quality checked without reference to retrieved content.</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NFR-02</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Latency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p95 end-to-end response time for a single ticket SHALL be at most 4.0 seconds across the validation set (excluding cold-start of embedding index).  [Traces: EV-S1; EV-S2; EV-M1 (SLA 2h vs actual 8-12h); EV-R1 (waiting cost varies by ticket urgency); EV-DATA-01 (baseline TTR).]</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Reported in metrics_report.json from harness runs. Prometheus histogram in production.</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NFR-03</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Reliability under partial degradation</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The system SHALL complete a full validation set run without crashing, given the model provider returns HTTP 200 on at least 80% of calls. Degraded tickets SHALL be logged and escalated, not dropped.  [Traces: EV-M3 (rather nothing than wrong); EV-M5 (compliance review requires predictability).]</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A11 chaos test: kill model provider on 20% of calls; harness exits 0; every ticket has a decision-log row.</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NFR-04</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Explainability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Every routing decision SHALL include a human-readable reason field. Every decision log entry SHALL be reconstructable by a compliance auditor without access to Claude, LangChain or the codebase.  [Traces: EV-M5 (autumn compliance review); EV-D1 (T2 escalations arrive without reasoning); EV-I2 (article vs misread).]</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Compliance-officer test: hand a random 20-row sample of decisions.db to a non-technical reader; every row is intelligible.</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NFR-05</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Fairness</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Answer quality (rubric-scored) SHALL not vary by more than 15 percentage points across language_fluency segments or customer_region segments on the validation set. For customer_tier segments, the D-05 confidence threshold MAY be tier-differentiated based on measured retrieval quality (B-07 found business-tier hit@3 = 87.0% vs enterprise 94.9%, a 7.9pp gap); however, answer quality within the auto_respond band SHALL NOT vary by more than 10 percentage points across tiers. Retrieval segment measurements SHALL be reported alongside answer-quality measurements to make the trade-off visible in the fairness audit (B-24). [Traces: EV-DATA-06 (language_fluency segments); EV-DATA-07 (region); EV-DATA-08 (tier); EV-DATA-09 (channel); EV-S4 (non-fluent CSAT concern); EV-M4 (enterprise cannot regress); EV-R1 (renewal risk if gap widens); B-07 per-tier retrieval measurement.]</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Segment-wise metrics reported by the harness. Governance Framework fairness table populated from these numbers.</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NFR-06</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Determinism</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Given identical inputs and identical RANDOM_SEED, two consecutive runs SHALL produce identical routing decisions and identical decision-log records (excluding timestamps and UUIDs).  [Traces: EV-M5 (compliance review requires reproducible decisions).]</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Two-run test: hash the decision-log rows minus timestamps and IDs; hashes match.</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NFR-07</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Confidence calibration</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The classifier's confidence scores SHALL be calibrated within +/- 5 percentage points in the 0.80-0.90 send band on the validation set (i.e. predictions in that band are correct 80-90% of the time).  [Traces: EV-M3 (rather nothing than wrong); EV-S5 (Sofia wants draft + doc, not unconditional auto-send).]</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Bucketed calibration curve computed by harness. Reported in metrics_report.json under `calibration`.</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NFR-08</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Cost</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The full validation set run SHALL complete within the free tier allowance of the chosen provider (OpenRouter free tier for Llama 3.1 8B). No paid-tier calls SHALL be required.  [Traces: EV-DATA-12; EV-M1 (Marcus cannot get additional headcount, so cost must not scale with volume); pack cost-nothing rule.]</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Metrics report includes call counts by stage; token counts logged. Rate-limit backoff is tested end-to-end.</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NFR-09</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Auditability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100% of tickets processed by the harness SHALL have a matching decision-log row. Reconciliation SHALL return zero missing entries.  [Traces: EV-M5 (autumn compliance review); EV-D1 (T2 needs the audit trail context is missing today).]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harness runs `reconcile()` at end. Exit code 0 requires reconciliation=true.</w:t>
            </w:r>
          </w:p>
        </w:tc>
      </w:tr>
    </w:tbl>
    <w:p>
      <w:pPr>
        <w:spacing w:after="80"/>
      </w:pPr>
    </w:p>
    <w:p>
      <w:pPr>
        <w:spacing w:before="440" w:after="60"/>
        <w:pBdr>
          <w:bottom w:val="single" w:sz="8" w:space="6" w:color="E8660A"/>
        </w:pBdr>
      </w:pPr>
      <w:r>
        <w:rPr>
          <w:b/>
          <w:color w:val="E8660A"/>
          <w:sz w:val="34"/>
        </w:rPr>
        <w:t xml:space="preserve">6   </w:t>
      </w:r>
      <w:r>
        <w:rPr>
          <w:b/>
          <w:color w:val="1A1A2E"/>
          <w:sz w:val="34"/>
        </w:rPr>
        <w:t>What is deliberately out of scope</w:t>
      </w:r>
    </w:p>
    <w:p>
      <w:pPr>
        <w:spacing w:after="140"/>
      </w:pPr>
      <w:r>
        <w:rPr>
          <w:i w:val="0"/>
          <w:sz w:val="21"/>
        </w:rPr>
        <w:t>Recording what you are not building is one of the most valuable things a requirements document does, because it is the section that prevents an argument in week three.</w:t>
      </w:r>
    </w:p>
    <w:tbl>
      <w:tblPr>
        <w:tblW w:type="auto" w:w="0"/>
        <w:jc w:val="center"/>
        <w:tblLayout w:type="fixed"/>
        <w:tblLook w:firstColumn="1" w:firstRow="1" w:lastColumn="0" w:lastRow="0" w:noHBand="0" w:noVBand="1" w:val="04A0"/>
      </w:tblPr>
      <w:tblGrid>
        <w:gridCol w:w="3216"/>
        <w:gridCol w:w="3216"/>
        <w:gridCol w:w="3216"/>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Not building</w:t>
            </w:r>
          </w:p>
        </w:tc>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Why not</w:t>
            </w:r>
          </w:p>
        </w:tc>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would have to change for this to be reconsidered</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Auto-answering the four must-not-auto-respond intents (compliance_request, security_incident, feature_request, unclear_request).</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EV-DATA-10 (17.4% of tickets, all four intents at 100% must_not_auto_respond). EV-D4 (Daniel's do-not-automate list). Automation of these carries regulatory, contractual or product-management risk that a generative model cannot judge.</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Explicit change of policy from CloudServe or the compliance auditor after autumn review. A future version could route these to a specialist auto-respond path with human confirmation, but this project does not.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7"/>
              </w:rPr>
              <w:t>Multi-turn conversation / session state.</w:t>
            </w:r>
          </w:p>
        </w:tc>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The four channels are ticket-shaped (one message in, one response out) per the Build Specification. Chat and forum channels could carry threads but the dataset schema treats each ticket as atomic. Adding session state introduces state-management, memory and identity concerns not in scope.</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Ticket schema extended to include conversation history. Guardrails extended to cross-message groundedness.</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Customer authentication or authorisation.</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The dataset assumes each ticket is legitimately from its stated customer. The pack does not include authentication material. Authorisation checks (e.g. does this customer's tier permit this answer) are out of scope.</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Real deployment against live CloudServe systems where an identity layer exists.</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7"/>
              </w:rPr>
              <w:t>Answering in languages other than English.</w:t>
            </w:r>
          </w:p>
        </w:tc>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Every ticket in the dataset is in English (non-fluent English is a separate labelled category; not a different language). The KB is English-only.</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Non-English tickets and a translated KB. Extends the fairness NFR significantly.</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Learning from private agent snippet files. [EV-D2]</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EV-D2 (Daniel: private snippet files contain 2+ year-old wrong answers). Training on them scales mistakes.</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A curated, reviewed second corpus derived from the snippet files. Not this project.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Handling documentation updates during a run.</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The KB is indexed once at build time (FR-08). Live re-indexing on doc updates is a Week 2/3 extension.</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Move the indexer behind a webhook. Adds a freshness NFR.</w:t>
            </w:r>
          </w:p>
        </w:tc>
      </w:tr>
    </w:tbl>
    <w:p>
      <w:pPr>
        <w:spacing w:after="80"/>
      </w:pPr>
    </w:p>
    <w:p>
      <w:r>
        <w:br w:type="page"/>
      </w:r>
    </w:p>
    <w:p>
      <w:pPr>
        <w:spacing w:before="440" w:after="60"/>
        <w:pBdr>
          <w:bottom w:val="single" w:sz="8" w:space="6" w:color="E8660A"/>
        </w:pBdr>
      </w:pPr>
      <w:r>
        <w:rPr>
          <w:b/>
          <w:color w:val="E8660A"/>
          <w:sz w:val="34"/>
        </w:rPr>
        <w:t xml:space="preserve">7   </w:t>
      </w:r>
      <w:r>
        <w:rPr>
          <w:b/>
          <w:color w:val="1A1A2E"/>
          <w:sz w:val="34"/>
        </w:rPr>
        <w:t>Assumptions and their consequences</w:t>
      </w:r>
    </w:p>
    <w:p>
      <w:pPr>
        <w:spacing w:after="140"/>
      </w:pPr>
      <w:r>
        <w:rPr>
          <w:i w:val="0"/>
          <w:sz w:val="21"/>
        </w:rPr>
        <w:t>Every assumption you are making is a place where this document could turn out to be wrong. Listing them now is what makes the revision in stage five a considered update rather than a scramble.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Assumption</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you believe it</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happens if it is false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you will find out</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6"/>
              </w:rPr>
              <w:t>The 22 intent classes in labels.intent form a stable closed set: the hidden 120-ticket set uses the same labels. [EV-DATA-05]</w:t>
            </w:r>
          </w:p>
        </w:tc>
        <w:tc>
          <w:tcPr>
            <w:tcW w:type="dxa" w:w="2304"/>
            <w:tcBorders>
              <w:top w:val="single" w:sz="6" w:color="D9D9E0"/>
              <w:left w:val="single" w:sz="6" w:color="D9D9E0"/>
              <w:bottom w:val="single" w:sz="6" w:color="D9D9E0"/>
              <w:right w:val="single" w:sz="6" w:color="D9D9E0"/>
            </w:tcBorders>
          </w:tcPr>
          <w:p>
            <w:pPr>
              <w:spacing w:before="50" w:after="50"/>
            </w:pPr>
            <w:r>
              <w:rPr>
                <w:sz w:val="16"/>
              </w:rPr>
              <w:t>Dataset Guide states the schema is shared across dev, validation and hidden sets.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The classifier's output space is wrong; some tickets fall out; false-negative rate on hidden set spikes.</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First run against the hidden set: any 'unknown' rate materially above dev-set rate indicates schema drift.</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29-article corpus is stable during the assessment window (no articles added or removed).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No mechanism in the pack updates the corpus.</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index_docs would need to re-run mid-cycle. Freshness NFR would become material.</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Trivial to check: any change to documentation.json content-hash between now and submission.</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6"/>
              </w:rPr>
              <w:t>The OpenRouter free tier remains available for Llama 3.1 8B during grading.</w:t>
            </w:r>
          </w:p>
        </w:tc>
        <w:tc>
          <w:tcPr>
            <w:tcW w:type="dxa" w:w="2304"/>
            <w:tcBorders>
              <w:top w:val="single" w:sz="6" w:color="D9D9E0"/>
              <w:left w:val="single" w:sz="6" w:color="D9D9E0"/>
              <w:bottom w:val="single" w:sz="6" w:color="D9D9E0"/>
              <w:right w:val="single" w:sz="6" w:color="D9D9E0"/>
            </w:tcBorders>
          </w:tcPr>
          <w:p>
            <w:pPr>
              <w:spacing w:before="50" w:after="50"/>
            </w:pPr>
            <w:r>
              <w:rPr>
                <w:sz w:val="16"/>
              </w:rPr>
              <w:t>Setup Guide names it as the default. Free tiers change without notice.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A11 handles it (degrade gracefully). Marks are protected: provider outage during grading is not counted against us per Build Spec section 01.</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Model provider status page; harness run confirms availability just before submission.</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Q3 pilot's TF-IDF baseline (hit@3 = 93.6%) is representative of what the pack's default embedder will achieve on this corpus.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The two methods use the same 29 articles and 357 answerable ticket queries.</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embedder is worse than TF-IDF; the retrieval NFR baseline is wrong; we need to reconsider D-02 (embedding model).</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First Chroma-based retrieval run on the same 357 tickets; compare hit@3 to 93.6%.</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6"/>
              </w:rPr>
              <w:t>The reference responses in ground_truth_responses.json are correct.</w:t>
            </w:r>
          </w:p>
        </w:tc>
        <w:tc>
          <w:tcPr>
            <w:tcW w:type="dxa" w:w="2304"/>
            <w:tcBorders>
              <w:top w:val="single" w:sz="6" w:color="D9D9E0"/>
              <w:left w:val="single" w:sz="6" w:color="D9D9E0"/>
              <w:bottom w:val="single" w:sz="6" w:color="D9D9E0"/>
              <w:right w:val="single" w:sz="6" w:color="D9D9E0"/>
            </w:tcBorders>
          </w:tcPr>
          <w:p>
            <w:pPr>
              <w:spacing w:before="50" w:after="50"/>
            </w:pPr>
            <w:r>
              <w:rPr>
                <w:sz w:val="16"/>
              </w:rPr>
              <w:t>Written by senior support agents per the pack.</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The judge and rubric are calibrated to the wrong ground truth; every measured number is skewed.</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Sample 20 responses and hand-check against the KB during Week 2.</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hidden set has 120 tickets (per README + Dataset Guide + Project Brief), not 100 (per Project Instructions, Start Here, Evaluation Framework, Build Spec 08).</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The three highest-authority pack documents (README, Dataset Guide, Project Brief) say 120. Four secondary references say 100.</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Harness rate-limit budget is off; total-run wall-clock estimate is off. Neither breaks correctness - the harness accepts an input path.</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First grading run reveals the number. Query the assessment team if we need to know earlier.</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Marcus's estimate that escalations cost about 4x a resolved ticket (EV-M1) is broadly accurate.</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Marcus's interview: 'every ticket that bounces to tier two costs us roughly four times what a resolved one costs'. No cost data in the pack to verify directly.</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Stage 1 Table 7 effort-vs-volume ranking uses this multiplier. If Marcus is wrong, the ordering of high-effort intents shifts; the automation ROI targets in the report need recalibrating; the routing threshold analysis needs to reweight escalation cost.</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Compare (auto_respond count x mean_cost_per_answered) vs (escalate count x mean_cost_per_escalated) after Week 2 pilot with time-tracked runs.</w:t>
            </w:r>
          </w:p>
        </w:tc>
      </w:tr>
    </w:tbl>
    <w:p>
      <w:pPr>
        <w:spacing w:after="80"/>
      </w:pPr>
    </w:p>
    <w:p>
      <w:pPr>
        <w:spacing w:before="440" w:after="60"/>
        <w:pBdr>
          <w:bottom w:val="single" w:sz="8" w:space="6" w:color="E8660A"/>
        </w:pBdr>
      </w:pPr>
      <w:r>
        <w:rPr>
          <w:b/>
          <w:color w:val="E8660A"/>
          <w:sz w:val="34"/>
        </w:rPr>
        <w:t xml:space="preserve">8   </w:t>
      </w:r>
      <w:r>
        <w:rPr>
          <w:b/>
          <w:color w:val="1A1A2E"/>
          <w:sz w:val="34"/>
        </w:rPr>
        <w:t>Success measures</w:t>
      </w:r>
    </w:p>
    <w:p>
      <w:pPr>
        <w:spacing w:after="140"/>
      </w:pPr>
      <w:r>
        <w:rPr>
          <w:i w:val="0"/>
          <w:sz w:val="21"/>
        </w:rPr>
        <w:t>State the measures this system will be judged on, with the baseline and the target for each, and say who is accountable for reporting them.</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Measure</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Baseline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Target</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Measured how</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Reported by</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First contact resolution</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43.8% (dev set historical)</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60%+ overall; 70%+ on the auto-respond segment (matches historical FCR on that segment).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harness produces `fcr_proxy` from the ticket-outcome column when running against a labelled set. Reported as (auto_respond count) / (total processed).</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Head of Support (Marcus).</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Time to first substantive reply</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Median 214 min, mean 422 min (dev set).</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Median under 60 min, mean under 180 min for the auto-respond segment.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harness records per-ticket latency; median and p95 in metrics_report.json.</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SLA reporting team.</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CSAT (rubric-scored proxy)</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Mean 2.97 / 5 (dev set history).</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At least 3.5 / 5 mean overall, no segment more than 15pp below the best segment.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Sampled responses scored by PR-EVAL-JUDGE-01 (three-dim RAG rubric). Aggregated segment table in metrics_report.json.</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Head of Support (Marcus) via Support team.</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Escalation rate</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56.2% overall (dev set).</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Below 40% overall. Zero on tickets that carry must_not_auto_respond=false and are answerable_from_docs=true, provided confidence exceeds threshold.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harness routing action counts, cross-tabbed with ticket labels.</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T2 team (Daniel), reported to Marcus.</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Hallucination rate</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Not currently measured; baseline unknown.</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Under 5% on judge-scored stratified samples.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PR-EVAL-HALLUCINATION-01 extracts claims, checks each against retrieved passages. Reported in metrics_report.json.</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Author (this project) initially; then Ines for corpus-drift diagnosis.</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Fairness gap</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Non-fluent English retrieves 3.6pp worse than fluent (Q3 pilot). No outcome gap in dev history.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 language_fluency / customer_tier / customer_region segment more than 15pp below the best segment on rubric-scored quality.</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harness segments the results table; governance framework fairness section populated automatically.</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Author, reviewed by Head of Support and compliance.</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Auditability</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None currently. Ticket history is unstructured.</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100% of decisions have a persistent-log row with prompt_version and requirement_ids populated.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harness runs reconcile() at end. Returns count of missing rows.</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Compliance officer (autumn review).</w:t>
            </w:r>
          </w:p>
        </w:tc>
      </w:tr>
    </w:tbl>
    <w:p>
      <w:pPr>
        <w:spacing w:after="80"/>
      </w:pPr>
    </w:p>
    <w:p>
      <w:pPr>
        <w:spacing w:before="440" w:after="60"/>
        <w:pBdr>
          <w:bottom w:val="single" w:sz="8" w:space="6" w:color="E8660A"/>
        </w:pBdr>
      </w:pPr>
      <w:r>
        <w:rPr>
          <w:b/>
          <w:color w:val="E8660A"/>
          <w:sz w:val="34"/>
        </w:rPr>
        <w:t xml:space="preserve">9   </w:t>
      </w:r>
      <w:r>
        <w:rPr>
          <w:b/>
          <w:color w:val="1A1A2E"/>
          <w:sz w:val="34"/>
        </w:rPr>
        <w:t>Open questions</w:t>
      </w:r>
    </w:p>
    <w:p>
      <w:pPr>
        <w:spacing w:after="140"/>
      </w:pPr>
      <w:r>
        <w:rPr>
          <w:i w:val="0"/>
          <w:sz w:val="21"/>
        </w:rPr>
        <w:t>The things you do not yet know. Each one needs an owner and a date by which it will be resolved, otherwise it will still be open in week three.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Why it matters</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Owner</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Resolve by</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Does the pack's default embedder (all-MiniLM-L6-v2) match or beat TF-IDF (hit@3 = 93.6%) on this corpus?</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Whole NFR-01a baseline shifts. If embedder is worse, D-02 ADR needs a rethink.</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Author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ANSWERED 2026-08-31 by backlog item B-07 (workbooks/d02_findings.md; evaluation/results/d02_dense_retrieval.json). Dense MiniLM-L6-v2 hit@3 = 91.0% (within 3pp of TF-IDF 93.6%; better on top-1 and top-5; fairness parity on non-fluent English is the deciding factor). D-02 stands. NFR-01a revised — see Stage 5 revision log.</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Do the four low-hit intents (onboarding, authentication_failure, integration_help, api_key_issue - all under 75% hit@3 on TF-IDF) recover with semantic embeddings or query rewriting?</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t>Determines whether we need a query-rewriting prompt in the prompt library (would be PR-RETRIEVE-01).</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Author</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ANSWERED (Monday's answer superseded 2026-09-02 by B-30). Onboarding hit@3 was 60.0% on Monday and 90.0% today after title-prepending in the search index. Every other intent hits 100% at hit@3 (compliance_request) or has hit@5 = 1.000 (deployment_failure, authentication_failure, database_issue). Only integration_help still needs a workaround (R-08 corpus coverage gap). PR-RETRIEVE-01 (B-05) is NO LONGER NEEDED and is cut from the plan. Saves 2h.</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Is the hidden evaluation set 100 or 120 tickets (pack contradicts itself)?</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Rate-limit / cost planning for the grading run. Not blocking, but affects the free-tier NFR-08 headroom.</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Assessment team query</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Before Fri 5 Sep (mid-week 2).</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What time zone is the 13 September deadline?</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t>Submission planning. Difference between IST and UTC is 5.5 hours; between IST and BST is 4.5.</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Assessment team query</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Before Fri 5 Sep.</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Q6 (added 2026-08-31; downgraded 2026-09-02): Should the D-05 confidence threshold be tier-differentiated? Monday's B-07 measured a 7.9pp retrieval hit@3 gap between business (0.870) and enterprise (0.949). B-30 re-measurement 2026-09-02 closed the gap to 1.4pp (business 0.935 vs enterprise 0.949; standard now leads at 0.966). Tier-aware thresholding is no longer urgent. Still worth measuring in the D-05 sweep as one axis alongside urgency and confidence-band calibration, but not as a blocker.</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Was: whether the router carries a lookup table (tier -&gt; threshold) or a single scalar. Now: whether a lookup table is worth the implementation cost given the 1.4pp gap. NFR-05 v2 permits tier variation with a 10pp answer-quality cap. The question stands but is no longer a design blocker.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Author (best-effort estimate); no CloudServe interlocutor.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Backlog item B-16 (D-05 threshold sweep), Fri 4 Sep. Now lower priority — the measurement may show no meaningful tier signal, in which case the answer is 'no'.</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Q6 (added 2026-08-31): Should the D-05 confidence threshold be tier-differentiated? B-07 measured a 7.9pp retrieval hit@3 gap between business (0.870) and enterprise (0.949) on n=182 tickets. Under a uniform threshold, that becomes a downstream answer-quality gap. NFR-05 v2 now permits tier-differentiation with an answer-quality cap of 10pp within the auto_respond band.</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Feeds D-05 sweep; determines whether the router carries a lookup table (tier -&gt; threshold) or a single scalar. Fairness NFR-05 v2 depends on the answer.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Author (evaluation harness B-16)</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Backlog item B-16 (D-05 threshold sweep), Fri 4 Sep (Week 2 gate day).</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Q7 (added 2026-09-03): Are FR-GUARD-01..04 (input length/emptiness, prompt-injection heuristics, output PII redaction, retrieval-confidence hard block) in scope for this build, or deferred to future work? Drafted in docs/drafts/masterclass_integration/prd_guardrail_frs.md; never merged into this PRD.</w:t>
              <w:br/>
              <w:br/>
              <w:t>RESOLVED 2026-09-03: DEFERRED to Week 3 candidate. Rationale: Week 2 gate on Friday; FR-16..19 blocking guardrails already cover PII / grounding / instruction-integrity / confidence-floor; FR-GUARD-04 gates on a weak signal (top-score, per D-02a sweep only 14 of 143 non-answerable tickets return zero passages at 0.25); merge cost is asymmetric with unwind cost. Actions taken: FR-GUARD-04 stripped from D-03a and D-05a Constrains lines (notes preserved), tests/test_guardrails.py marked module-skip pending Week 3, Stage 5 Table 3 row logged. Revisit trigger: if B-21 gate exposes an ungrounded-response failure mode that FR-17 doesn't catch.</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(1) GOVERNANCE. Two ACCEPTED ADRs — D-03a and D-05a — already name FR-GUARD-04 in their Constrains lines, and tests/test_guardrails.py already encodes a test contract for all four, so accepted artefacts cite a requirement this PRD does not contain. (2) SEQUENCING. The hard technical dependency is B-11, not B-10: B-11 is where src/generate.py calls into guardrails, so the interface must be settled by then. B-10 is a JSON-contract prompt and does not touch guardrails — it can be written either way. Answering before B-10 is a discipline choice that preserves one backlog row of slack, NOT a blocker. (3) ESTIMATE. Whether FR-GUARD-01..04 REPLACES FR-16..19 or SUPPLEMENTS them changes B-14's 4h estimate materially. B-14 is scoped as 'all five guardrails blocking' (PII, grounding, instruction integrity, tone/scope, confidence floor) at 4h; nine guardrails at 4h is not the same calculation. Two of the four overlap existing FRs — FR-GUARD-03 (output PII redaction) against FR-16 (PII block), and FR-GUARD-02 (prompt-injection heuristics, input side) against FR-18 (instruction integrity, output side) — and two are genuinely new (FR-GUARD-01 input length/emptiness, which also overlaps FR-02's ingest handling; FR-GUARD-04). Note FR-GUARD-03 specifies REDACTION where FR-16 specifies BLOCK: A7 requires at least one guardrail that blocks rather than warns, so a straight replacement there would weaken an acceptance criterion. (4) THRESHOLD. FR-GUARD-04's MIN_RELEVANCE_SCORE and D-02a's RETRIEVAL_THRESHOLD are two gates on the same cosine score scale; the draft's candidate range (0.10-0.35) is exactly what D-02a swept, and D-02a set 0.25 on measured evidence without knowing FR-GUARD-04 existed.</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Alok Kulkarni</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Hard deadline: before B-11 (the guardrail interface only matters once generate.py calls into it). Preferred: before B-10, as discipline — that keeps one row of slack rather than deciding under pressure. URGENCY: B-14 sits on Thursday 3 Sep's row and Friday 4 Sep is the B-21 gate, so any estimate change lands on an already-slipping row with no slack day after it. Whichever way Q7 is answered, re-estimate B-14 in the same pass and record the new figure — do not let Friday discover it. If the answer is 'deferred', strip FR-GUARD-04 from the D-03a and D-05a Constrains lines and re-mark tests/test_guardrails.py as blocked on a deferred FR rather than on B-11.</w:t>
            </w:r>
          </w:p>
        </w:tc>
      </w:tr>
    </w:tbl>
    <w:p>
      <w:pPr>
        <w:spacing w:after="80"/>
      </w:pP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The review before you move on</w:t>
            </w:r>
          </w:p>
          <w:p>
            <w:pPr>
              <w:spacing w:after="160"/>
            </w:pPr>
            <w:r>
              <w:rPr>
                <w:color w:val="333344"/>
                <w:sz w:val="20"/>
              </w:rPr>
              <w:t>Read your finished PRD and ask, for each requirement in turn, whether an engineer who had not attended any of your interviews could build it from what is written. Where the answer is no, the requirement is not finished. This check takes twenty minutes and it is the single highest-value thing you can do at the end of week one.</w:t>
            </w:r>
          </w:p>
        </w:tc>
      </w:tr>
    </w:tbl>
    <w:p>
      <w:pPr>
        <w:spacing w:after="4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Two  ·  Product Requirements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