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40"/>
        <w:jc w:val="center"/>
      </w:pPr>
      <w:r>
        <w:rPr>
          <w:b/>
          <w:color w:val="E8660A"/>
          <w:sz w:val="26"/>
        </w:rPr>
        <w:t>FORWARD DEPLOYED AI ENGINEERING</w:t>
      </w:r>
    </w:p>
    <w:p>
      <w:pPr>
        <w:spacing w:after="520"/>
        <w:jc w:val="center"/>
      </w:pPr>
      <w:r>
        <w:rPr>
          <w:color w:val="4A4A63"/>
          <w:sz w:val="19"/>
        </w:rPr>
        <w:t>Capstone Project</w:t>
      </w:r>
    </w:p>
    <w:p>
      <w:pPr>
        <w:spacing w:after="120"/>
        <w:jc w:val="center"/>
      </w:pPr>
      <w:r>
        <w:rPr>
          <w:b/>
          <w:color w:val="1A1A2E"/>
          <w:sz w:val="60"/>
        </w:rPr>
        <w:t>Stage Five: Revision Log</w:t>
      </w:r>
    </w:p>
    <w:p>
      <w:pPr>
        <w:spacing w:after="280"/>
        <w:jc w:val="center"/>
        <w:pBdr>
          <w:bottom w:val="single" w:sz="10" w:space="6" w:color="E8660A"/>
        </w:pBdr>
      </w:pPr>
      <w:r>
        <w:rPr>
          <w:color w:val="E8660A"/>
          <w:sz w:val="26"/>
        </w:rPr>
        <w:t>Recording what your requirements got wrong and why</w:t>
      </w:r>
    </w:p>
    <w:p>
      <w:pPr>
        <w:spacing w:after="400"/>
        <w:jc w:val="center"/>
      </w:pPr>
      <w:r>
        <w:rPr>
          <w:i/>
          <w:color w:val="4A4A63"/>
          <w:sz w:val="21"/>
        </w:rPr>
        <w:t>You are required to revise your requirements document at least once during the</w:t>
        <w:br/>
        <w:t>build. This is where you record what changed and what prompted the change.</w:t>
      </w:r>
    </w:p>
    <w:tbl>
      <w:tblPr>
        <w:tblW w:type="auto" w:w="0"/>
        <w:jc w:val="center"/>
        <w:tblLook w:firstColumn="1" w:firstRow="1" w:lastColumn="0" w:lastRow="0" w:noHBand="0" w:noVBand="1" w:val="04A0"/>
      </w:tblPr>
      <w:tblGrid>
        <w:gridCol w:w="9648"/>
      </w:tblGrid>
      <w:tr>
        <w:tc>
          <w:tcPr>
            <w:tcW w:type="dxa" w:w="6624"/>
            <w:shd w:val="clear" w:fill="1A1A2E"/>
            <w:tcBorders>
              <w:top w:val="nil"/>
              <w:left w:val="nil"/>
              <w:bottom w:val="nil"/>
              <w:right w:val="nil"/>
            </w:tcBorders>
          </w:tcPr>
          <w:p>
            <w:pPr>
              <w:jc w:val="center"/>
            </w:pPr>
            <w:r>
              <w:rPr>
                <w:b/>
                <w:color w:val="FFFFFF"/>
                <w:sz w:val="20"/>
              </w:rPr>
              <w:t>WEEK TWO INTO WEEK THREE  ·  COMPULSORY</w:t>
            </w:r>
          </w:p>
        </w:tc>
      </w:tr>
    </w:tbl>
    <w:p>
      <w:r>
        <w:br w:type="page"/>
      </w:r>
    </w:p>
    <w:p>
      <w:pPr>
        <w:spacing w:before="440" w:after="60"/>
        <w:pBdr>
          <w:bottom w:val="single" w:sz="8" w:space="6" w:color="E8660A"/>
        </w:pBdr>
      </w:pPr>
      <w:r>
        <w:rPr>
          <w:b/>
          <w:color w:val="1A1A2E"/>
          <w:sz w:val="34"/>
        </w:rPr>
        <w:t>Why this is compulsory</w:t>
      </w:r>
    </w:p>
    <w:p>
      <w:pPr>
        <w:spacing w:after="140"/>
      </w:pPr>
      <w:r>
        <w:rPr>
          <w:i w:val="0"/>
          <w:sz w:val="21"/>
        </w:rPr>
        <w:t>A requirements document written before any code exists is a set of educated guesses. Some of those guesses will be wrong, and building is how you find out which ones. A student that reaches the end of three weeks with an unchanged PRD has either been extraordinarily lucky or has stopped consulting the document, and the second is far more common than the first.</w:t>
      </w:r>
    </w:p>
    <w:p>
      <w:pPr>
        <w:spacing w:after="140"/>
      </w:pPr>
      <w:r>
        <w:rPr>
          <w:i w:val="0"/>
          <w:sz w:val="21"/>
        </w:rPr>
        <w:t>This log is not a confession. It is evidence that you were paying attention. The students who score well here are the ones who can point to a specific thing they discovered while building, explain how it contradicted an assumption they had written down, and show what they changed as a result.</w:t>
      </w:r>
    </w:p>
    <w:p>
      <w:pPr>
        <w:spacing w:before="200" w:after="60"/>
        <w:jc w:val="center"/>
      </w:pPr>
      <w:r>
        <w:drawing>
          <wp:inline xmlns:a="http://schemas.openxmlformats.org/drawingml/2006/main" xmlns:pic="http://schemas.openxmlformats.org/drawingml/2006/picture">
            <wp:extent cx="6035040" cy="2517289"/>
            <wp:docPr id="1" name="Picture 1"/>
            <wp:cNvGraphicFramePr>
              <a:graphicFrameLocks noChangeAspect="1"/>
            </wp:cNvGraphicFramePr>
            <a:graphic>
              <a:graphicData uri="http://schemas.openxmlformats.org/drawingml/2006/picture">
                <pic:pic>
                  <pic:nvPicPr>
                    <pic:cNvPr id="0" name="prd_revision.png"/>
                    <pic:cNvPicPr/>
                  </pic:nvPicPr>
                  <pic:blipFill>
                    <a:blip r:embed="rId9"/>
                    <a:stretch>
                      <a:fillRect/>
                    </a:stretch>
                  </pic:blipFill>
                  <pic:spPr>
                    <a:xfrm>
                      <a:off x="0" y="0"/>
                      <a:ext cx="6035040" cy="2517289"/>
                    </a:xfrm>
                    <a:prstGeom prst="rect"/>
                  </pic:spPr>
                </pic:pic>
              </a:graphicData>
            </a:graphic>
          </wp:inline>
        </w:drawing>
      </w:r>
    </w:p>
    <w:p>
      <w:pPr>
        <w:spacing w:after="240"/>
        <w:jc w:val="center"/>
      </w:pPr>
      <w:r>
        <w:rPr>
          <w:i/>
          <w:color w:val="4A4A63"/>
          <w:sz w:val="17"/>
        </w:rPr>
        <w:t>Figure 1. The revision sits in the middle of the build, not at the end.</w:t>
      </w:r>
    </w:p>
    <w:tbl>
      <w:tblPr>
        <w:tblW w:type="auto" w:w="0"/>
        <w:tblLook w:firstColumn="1" w:firstRow="1" w:lastColumn="0" w:lastRow="0" w:noHBand="0" w:noVBand="1" w:val="04A0"/>
      </w:tblPr>
      <w:tblGrid>
        <w:gridCol w:w="9648"/>
      </w:tblGrid>
      <w:tr>
        <w:tc>
          <w:tcPr>
            <w:tcW w:type="dxa" w:w="9648"/>
            <w:shd w:val="clear" w:fill="FDEDE1"/>
            <w:tcBorders>
              <w:top w:val="nil"/>
              <w:left w:val="nil"/>
              <w:bottom w:val="nil"/>
              <w:right w:val="nil"/>
            </w:tcBorders>
          </w:tcPr>
          <w:p>
            <w:pPr>
              <w:spacing w:before="140" w:after="60"/>
            </w:pPr>
            <w:r>
              <w:rPr>
                <w:b/>
                <w:color w:val="E8660A"/>
                <w:sz w:val="21"/>
              </w:rPr>
              <w:t>What a weak revision log looks like</w:t>
            </w:r>
          </w:p>
          <w:p>
            <w:pPr>
              <w:spacing w:after="160"/>
            </w:pPr>
            <w:r>
              <w:rPr>
                <w:color w:val="333344"/>
                <w:sz w:val="20"/>
              </w:rPr>
              <w:t>Vague entries such as tidied up wording or clarified requirements tell an assessor nothing. A strong entry names the requirement, states what it said before, states what it says now, identifies the specific thing that prompted the change, and says who agreed to it.</w:t>
            </w:r>
          </w:p>
        </w:tc>
      </w:tr>
    </w:tbl>
    <w:p>
      <w:pPr>
        <w:spacing w:after="40"/>
      </w:pPr>
    </w:p>
    <w:p>
      <w:r>
        <w:br w:type="page"/>
      </w:r>
    </w:p>
    <w:p>
      <w:pPr>
        <w:spacing w:before="440" w:after="60"/>
        <w:pBdr>
          <w:bottom w:val="single" w:sz="8" w:space="6" w:color="E8660A"/>
        </w:pBdr>
      </w:pPr>
      <w:r>
        <w:rPr>
          <w:b/>
          <w:color w:val="E8660A"/>
          <w:sz w:val="34"/>
        </w:rPr>
        <w:t xml:space="preserve">1   </w:t>
      </w:r>
      <w:r>
        <w:rPr>
          <w:b/>
          <w:color w:val="1A1A2E"/>
          <w:sz w:val="34"/>
        </w:rPr>
        <w:t>Section one: revision summary</w:t>
      </w:r>
    </w:p>
    <w:tbl>
      <w:tblPr>
        <w:tblW w:type="auto" w:w="0"/>
        <w:jc w:val="center"/>
        <w:tblLayout w:type="fixed"/>
        <w:tblLook w:firstColumn="1" w:firstRow="1" w:lastColumn="0" w:lastRow="0" w:noHBand="0" w:noVBand="1" w:val="04A0"/>
      </w:tblPr>
      <w:tblGrid>
        <w:gridCol w:w="4824"/>
        <w:gridCol w:w="4824"/>
      </w:tblGrid>
      <w:tr>
        <w:tc>
          <w:tcPr>
            <w:tcW w:type="dxa" w:w="3456"/>
            <w:shd w:val="clear" w:fill="E8660A"/>
            <w:tcBorders>
              <w:top w:val="single" w:sz="6" w:color="D9D9E0"/>
              <w:left w:val="single" w:sz="6" w:color="D9D9E0"/>
              <w:bottom w:val="single" w:sz="6" w:color="D9D9E0"/>
              <w:right w:val="single" w:sz="6" w:color="D9D9E0"/>
            </w:tcBorders>
          </w:tcPr>
          <w:p>
            <w:pPr>
              <w:spacing w:before="60" w:after="60"/>
            </w:pPr>
            <w:r>
              <w:rPr>
                <w:b/>
                <w:color w:val="FFFFFF"/>
                <w:sz w:val="19"/>
              </w:rPr>
              <w:t>Field</w:t>
            </w:r>
          </w:p>
        </w:tc>
        <w:tc>
          <w:tcPr>
            <w:tcW w:type="dxa" w:w="6192"/>
            <w:shd w:val="clear" w:fill="E8660A"/>
            <w:tcBorders>
              <w:top w:val="single" w:sz="6" w:color="D9D9E0"/>
              <w:left w:val="single" w:sz="6" w:color="D9D9E0"/>
              <w:bottom w:val="single" w:sz="6" w:color="D9D9E0"/>
              <w:right w:val="single" w:sz="6" w:color="D9D9E0"/>
            </w:tcBorders>
          </w:tcPr>
          <w:p>
            <w:pPr>
              <w:spacing w:before="60" w:after="60"/>
            </w:pPr>
            <w:r>
              <w:rPr>
                <w:b/>
                <w:color w:val="FFFFFF"/>
                <w:sz w:val="19"/>
              </w:rPr>
              <w:t>Value</w:t>
            </w:r>
          </w:p>
        </w:tc>
      </w:tr>
      <w:tr>
        <w:tc>
          <w:tcPr>
            <w:tcW w:type="dxa" w:w="3456"/>
            <w:tcBorders>
              <w:top w:val="single" w:sz="6" w:color="D9D9E0"/>
              <w:left w:val="single" w:sz="6" w:color="D9D9E0"/>
              <w:bottom w:val="single" w:sz="6" w:color="D9D9E0"/>
              <w:right w:val="single" w:sz="6" w:color="D9D9E0"/>
            </w:tcBorders>
          </w:tcPr>
          <w:p>
            <w:pPr>
              <w:spacing w:before="50" w:after="50"/>
            </w:pPr>
            <w:r>
              <w:rPr>
                <w:sz w:val="18"/>
              </w:rPr>
              <w:t>New version number</w:t>
            </w:r>
          </w:p>
        </w:tc>
        <w:tc>
          <w:tcPr>
            <w:tcW w:type="dxa" w:w="6192"/>
            <w:tcBorders>
              <w:top w:val="single" w:sz="6" w:color="D9D9E0"/>
              <w:left w:val="single" w:sz="6" w:color="D9D9E0"/>
              <w:bottom w:val="single" w:sz="6" w:color="D9D9E0"/>
              <w:right w:val="single" w:sz="6" w:color="D9D9E0"/>
            </w:tcBorders>
          </w:tcPr>
          <w:p>
            <w:pPr>
              <w:spacing w:before="50" w:after="50"/>
            </w:pPr>
            <w:r>
              <w:rPr>
                <w:sz w:val="18"/>
              </w:rPr>
              <w:t>2.0 (rolling log — kept in sync with PRD Stage 2 workbook v2. Final counts locked at backlog item B-22, Stage 5 formal review.)</w:t>
            </w:r>
          </w:p>
        </w:tc>
      </w:tr>
      <w:tr>
        <w:tc>
          <w:tcPr>
            <w:tcW w:type="dxa" w:w="3456"/>
            <w:tcBorders>
              <w:top w:val="single" w:sz="6" w:color="D9D9E0"/>
              <w:left w:val="single" w:sz="6" w:color="D9D9E0"/>
              <w:bottom w:val="single" w:sz="6" w:color="D9D9E0"/>
              <w:right w:val="single" w:sz="6" w:color="D9D9E0"/>
            </w:tcBorders>
            <w:shd w:val="clear" w:fill="F4F4F7"/>
          </w:tcPr>
          <w:p>
            <w:pPr>
              <w:spacing w:before="50" w:after="50"/>
            </w:pPr>
            <w:r>
              <w:rPr>
                <w:sz w:val="18"/>
              </w:rPr>
              <w:t>Date of revision</w:t>
            </w:r>
          </w:p>
        </w:tc>
        <w:tc>
          <w:tcPr>
            <w:tcW w:type="dxa" w:w="6192"/>
            <w:tcBorders>
              <w:top w:val="single" w:sz="6" w:color="D9D9E0"/>
              <w:left w:val="single" w:sz="6" w:color="D9D9E0"/>
              <w:bottom w:val="single" w:sz="6" w:color="D9D9E0"/>
              <w:right w:val="single" w:sz="6" w:color="D9D9E0"/>
            </w:tcBorders>
            <w:shd w:val="clear" w:fill="F4F4F7"/>
          </w:tcPr>
          <w:p>
            <w:pPr>
              <w:spacing w:before="50" w:after="50"/>
            </w:pPr>
            <w:r>
              <w:rPr>
                <w:sz w:val="18"/>
              </w:rPr>
              <w:t>2026-08-31 (first entries — Week 2 Day 1). Rolling; expect further rows as B-16, B-21, B-24 land.</w:t>
            </w:r>
          </w:p>
        </w:tc>
      </w:tr>
      <w:tr>
        <w:tc>
          <w:tcPr>
            <w:tcW w:type="dxa" w:w="3456"/>
            <w:tcBorders>
              <w:top w:val="single" w:sz="6" w:color="D9D9E0"/>
              <w:left w:val="single" w:sz="6" w:color="D9D9E0"/>
              <w:bottom w:val="single" w:sz="6" w:color="D9D9E0"/>
              <w:right w:val="single" w:sz="6" w:color="D9D9E0"/>
            </w:tcBorders>
          </w:tcPr>
          <w:p>
            <w:pPr>
              <w:spacing w:before="50" w:after="50"/>
            </w:pPr>
            <w:r>
              <w:rPr>
                <w:sz w:val="18"/>
              </w:rPr>
              <w:t>Who carried out the revision</w:t>
            </w:r>
          </w:p>
        </w:tc>
        <w:tc>
          <w:tcPr>
            <w:tcW w:type="dxa" w:w="6192"/>
            <w:tcBorders>
              <w:top w:val="single" w:sz="6" w:color="D9D9E0"/>
              <w:left w:val="single" w:sz="6" w:color="D9D9E0"/>
              <w:bottom w:val="single" w:sz="6" w:color="D9D9E0"/>
              <w:right w:val="single" w:sz="6" w:color="D9D9E0"/>
            </w:tcBorders>
          </w:tcPr>
          <w:p>
            <w:pPr>
              <w:spacing w:before="50" w:after="50"/>
            </w:pPr>
            <w:r>
              <w:rPr>
                <w:sz w:val="18"/>
              </w:rPr>
              <w:t>Alok Kulkarni</w:t>
            </w:r>
          </w:p>
        </w:tc>
      </w:tr>
      <w:tr>
        <w:tc>
          <w:tcPr>
            <w:tcW w:type="dxa" w:w="3456"/>
            <w:tcBorders>
              <w:top w:val="single" w:sz="6" w:color="D9D9E0"/>
              <w:left w:val="single" w:sz="6" w:color="D9D9E0"/>
              <w:bottom w:val="single" w:sz="6" w:color="D9D9E0"/>
              <w:right w:val="single" w:sz="6" w:color="D9D9E0"/>
            </w:tcBorders>
            <w:shd w:val="clear" w:fill="F4F4F7"/>
          </w:tcPr>
          <w:p>
            <w:pPr>
              <w:spacing w:before="50" w:after="50"/>
            </w:pPr>
            <w:r>
              <w:rPr>
                <w:sz w:val="18"/>
              </w:rPr>
              <w:t>Who reviewed and agreed it</w:t>
            </w:r>
          </w:p>
        </w:tc>
        <w:tc>
          <w:tcPr>
            <w:tcW w:type="dxa" w:w="6192"/>
            <w:tcBorders>
              <w:top w:val="single" w:sz="6" w:color="D9D9E0"/>
              <w:left w:val="single" w:sz="6" w:color="D9D9E0"/>
              <w:bottom w:val="single" w:sz="6" w:color="D9D9E0"/>
              <w:right w:val="single" w:sz="6" w:color="D9D9E0"/>
            </w:tcBorders>
            <w:shd w:val="clear" w:fill="F4F4F7"/>
          </w:tcPr>
          <w:p>
            <w:pPr>
              <w:spacing w:before="50" w:after="50"/>
            </w:pPr>
            <w:r>
              <w:rPr>
                <w:sz w:val="18"/>
              </w:rPr>
              <w:t>Self-reviewed (individual project). Stage 5 formal review at backlog item B-22 in Week 3.</w:t>
            </w:r>
          </w:p>
        </w:tc>
      </w:tr>
      <w:tr>
        <w:tc>
          <w:tcPr>
            <w:tcW w:type="dxa" w:w="3456"/>
            <w:tcBorders>
              <w:top w:val="single" w:sz="6" w:color="D9D9E0"/>
              <w:left w:val="single" w:sz="6" w:color="D9D9E0"/>
              <w:bottom w:val="single" w:sz="6" w:color="D9D9E0"/>
              <w:right w:val="single" w:sz="6" w:color="D9D9E0"/>
            </w:tcBorders>
          </w:tcPr>
          <w:p>
            <w:pPr>
              <w:spacing w:before="50" w:after="50"/>
            </w:pPr>
            <w:r>
              <w:rPr>
                <w:sz w:val="18"/>
              </w:rPr>
              <w:t>Number of requirements changed</w:t>
            </w:r>
          </w:p>
        </w:tc>
        <w:tc>
          <w:tcPr>
            <w:tcW w:type="dxa" w:w="6192"/>
            <w:tcBorders>
              <w:top w:val="single" w:sz="6" w:color="D9D9E0"/>
              <w:left w:val="single" w:sz="6" w:color="D9D9E0"/>
              <w:bottom w:val="single" w:sz="6" w:color="D9D9E0"/>
              <w:right w:val="single" w:sz="6" w:color="D9D9E0"/>
            </w:tcBorders>
          </w:tcPr>
          <w:p>
            <w:pPr>
              <w:spacing w:before="50" w:after="50"/>
            </w:pPr>
            <w:r>
              <w:rPr>
                <w:sz w:val="18"/>
              </w:rPr>
              <w:t>5 (FR-04 text revised; NFR-01a text revised three times — v2 on 2026-08-31, v3 on 2026-09-02, v3 note appended today for D-02a; NFR-05 text revised); PRD Table 9 Q7 resolved 2026-09-03 as DEFERRED</w:t>
            </w:r>
          </w:p>
        </w:tc>
      </w:tr>
      <w:tr>
        <w:tc>
          <w:tcPr>
            <w:tcW w:type="dxa" w:w="3456"/>
            <w:tcBorders>
              <w:top w:val="single" w:sz="6" w:color="D9D9E0"/>
              <w:left w:val="single" w:sz="6" w:color="D9D9E0"/>
              <w:bottom w:val="single" w:sz="6" w:color="D9D9E0"/>
              <w:right w:val="single" w:sz="6" w:color="D9D9E0"/>
            </w:tcBorders>
            <w:shd w:val="clear" w:fill="F4F4F7"/>
          </w:tcPr>
          <w:p>
            <w:pPr>
              <w:spacing w:before="50" w:after="50"/>
            </w:pPr>
            <w:r>
              <w:rPr>
                <w:sz w:val="18"/>
              </w:rPr>
              <w:t>Number of requirements added</w:t>
            </w:r>
          </w:p>
        </w:tc>
        <w:tc>
          <w:tcPr>
            <w:tcW w:type="dxa" w:w="6192"/>
            <w:tcBorders>
              <w:top w:val="single" w:sz="6" w:color="D9D9E0"/>
              <w:left w:val="single" w:sz="6" w:color="D9D9E0"/>
              <w:bottom w:val="single" w:sz="6" w:color="D9D9E0"/>
              <w:right w:val="single" w:sz="6" w:color="D9D9E0"/>
            </w:tcBorders>
            <w:shd w:val="clear" w:fill="F4F4F7"/>
          </w:tcPr>
          <w:p>
            <w:pPr>
              <w:spacing w:before="50" w:after="50"/>
            </w:pPr>
            <w:r>
              <w:rPr>
                <w:sz w:val="18"/>
              </w:rPr>
              <w:t>2 (FR-25 added — docs_comment channel handling; PRD Open Q6 added — tier-aware threshold). One column added to the decision-log record (run_id, row 6). One vocabulary widening on the action_taken column (row 7).</w:t>
            </w:r>
          </w:p>
        </w:tc>
      </w:tr>
      <w:tr>
        <w:tc>
          <w:tcPr>
            <w:tcW w:type="dxa" w:w="3456"/>
            <w:tcBorders>
              <w:top w:val="single" w:sz="6" w:color="D9D9E0"/>
              <w:left w:val="single" w:sz="6" w:color="D9D9E0"/>
              <w:bottom w:val="single" w:sz="6" w:color="D9D9E0"/>
              <w:right w:val="single" w:sz="6" w:color="D9D9E0"/>
            </w:tcBorders>
          </w:tcPr>
          <w:p>
            <w:pPr>
              <w:spacing w:before="50" w:after="50"/>
            </w:pPr>
            <w:r>
              <w:rPr>
                <w:sz w:val="18"/>
              </w:rPr>
              <w:t>Number of requirements removed</w:t>
            </w:r>
          </w:p>
        </w:tc>
        <w:tc>
          <w:tcPr>
            <w:tcW w:type="dxa" w:w="6192"/>
            <w:tcBorders>
              <w:top w:val="single" w:sz="6" w:color="D9D9E0"/>
              <w:left w:val="single" w:sz="6" w:color="D9D9E0"/>
              <w:bottom w:val="single" w:sz="6" w:color="D9D9E0"/>
              <w:right w:val="single" w:sz="6" w:color="D9D9E0"/>
            </w:tcBorders>
          </w:tcPr>
          <w:p>
            <w:pPr>
              <w:spacing w:before="50" w:after="50"/>
            </w:pPr>
            <w:r>
              <w:rPr>
                <w:sz w:val="18"/>
              </w:rPr>
              <w:t>1 (FR-25, removed 2026-09-02 after data check disproved its assumption)</w:t>
            </w:r>
          </w:p>
        </w:tc>
      </w:tr>
    </w:tbl>
    <w:p>
      <w:pPr>
        <w:spacing w:after="80"/>
      </w:pPr>
    </w:p>
    <w:p>
      <w:pPr>
        <w:spacing w:before="440" w:after="60"/>
        <w:pBdr>
          <w:bottom w:val="single" w:sz="8" w:space="6" w:color="E8660A"/>
        </w:pBdr>
      </w:pPr>
      <w:r>
        <w:rPr>
          <w:b/>
          <w:color w:val="E8660A"/>
          <w:sz w:val="34"/>
        </w:rPr>
        <w:t xml:space="preserve">2   </w:t>
      </w:r>
      <w:r>
        <w:rPr>
          <w:b/>
          <w:color w:val="1A1A2E"/>
          <w:sz w:val="34"/>
        </w:rPr>
        <w:t>Section two: the changes</w:t>
      </w:r>
    </w:p>
    <w:p>
      <w:pPr>
        <w:spacing w:after="140"/>
      </w:pPr>
      <w:r>
        <w:rPr>
          <w:i w:val="0"/>
          <w:sz w:val="21"/>
        </w:rPr>
        <w:t>One row per change. Be specific about the trigger; that column is what distinguishes a considered revision from a tidying exercise.</w:t>
      </w:r>
    </w:p>
    <w:tbl>
      <w:tblPr>
        <w:tblW w:type="auto" w:w="0"/>
        <w:jc w:val="center"/>
        <w:tblLayout w:type="fixed"/>
        <w:tblLook w:firstColumn="1" w:firstRow="1" w:lastColumn="0" w:lastRow="0" w:noHBand="0" w:noVBand="1" w:val="04A0"/>
      </w:tblPr>
      <w:tblGrid>
        <w:gridCol w:w="1930"/>
        <w:gridCol w:w="1930"/>
        <w:gridCol w:w="1930"/>
        <w:gridCol w:w="1930"/>
        <w:gridCol w:w="1930"/>
      </w:tblGrid>
      <w:tr>
        <w:tc>
          <w:tcPr>
            <w:tcW w:type="dxa" w:w="1368"/>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Requirement ID</w:t>
            </w:r>
          </w:p>
        </w:tc>
        <w:tc>
          <w:tcPr>
            <w:tcW w:type="dxa" w:w="230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What it said in version one</w:t>
            </w:r>
          </w:p>
        </w:tc>
        <w:tc>
          <w:tcPr>
            <w:tcW w:type="dxa" w:w="230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What it says now</w:t>
            </w:r>
          </w:p>
        </w:tc>
        <w:tc>
          <w:tcPr>
            <w:tcW w:type="dxa" w:w="2448"/>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What prompted the change</w:t>
            </w:r>
          </w:p>
        </w:tc>
        <w:tc>
          <w:tcPr>
            <w:tcW w:type="dxa" w:w="122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Agreed by</w:t>
            </w:r>
          </w:p>
        </w:tc>
      </w:tr>
      <w:tr>
        <w:tc>
          <w:tcPr>
            <w:tcW w:type="dxa" w:w="1368"/>
            <w:tcBorders>
              <w:top w:val="single" w:sz="6" w:color="D9D9E0"/>
              <w:left w:val="single" w:sz="6" w:color="D9D9E0"/>
              <w:bottom w:val="single" w:sz="6" w:color="D9D9E0"/>
              <w:right w:val="single" w:sz="6" w:color="D9D9E0"/>
            </w:tcBorders>
          </w:tcPr>
          <w:p>
            <w:pPr>
              <w:spacing w:before="50" w:after="50"/>
            </w:pPr>
            <w:r>
              <w:rPr>
                <w:sz w:val="15"/>
              </w:rPr>
              <w:t>NFR-01a — Retrieval / Context Relevance</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v1 (2026-08-29): 'For tickets flagged answerable_from_docs=true, at least one passage from a doc_id in expected_doc_ids SHALL be present in the top-3 retrieved passages on at least 90% of the validation set (baseline: TF-IDF pilot 93.6%).'</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v2 (2026-08-31): '...at least 90% of the validation set (aggregate floor) AND at least 75% within each of the 22 intent classes. Documented exception: integration_help may sit below 75% per R-08 (corpus coverage gap — hit@5 = hit@3 = 68.8%). Baselines: TF-IDF 93.6% (Q3 pilot); dense 91.0% (B-07 revisit).'</w:t>
            </w:r>
          </w:p>
        </w:tc>
        <w:tc>
          <w:tcPr>
            <w:tcW w:type="dxa" w:w="2448"/>
            <w:tcBorders>
              <w:top w:val="single" w:sz="6" w:color="D9D9E0"/>
              <w:left w:val="single" w:sz="6" w:color="D9D9E0"/>
              <w:bottom w:val="single" w:sz="6" w:color="D9D9E0"/>
              <w:right w:val="single" w:sz="6" w:color="D9D9E0"/>
            </w:tcBorders>
          </w:tcPr>
          <w:p>
            <w:pPr>
              <w:spacing w:before="50" w:after="50"/>
            </w:pPr>
            <w:r>
              <w:rPr>
                <w:sz w:val="15"/>
              </w:rPr>
              <w:t>Backlog item B-07 (D-02 revisit check) on 2026-08-31 measured dense hit@3 at 91.0% aggregate — clears the 90% floor. But the by-intent breakdown surfaced integration_help as a corpus coverage gap that no retrieval tuning fixes (hit@5 = hit@3 = 68.8%; the correct doc isn't in top-5 for 5 of 16 tickets). Original NFR-01a had no per-intent floor; the aggregate would have hidden this. Adding one with the documented exception makes the fairness commitment inspectable. Evidence: workbooks/d02_findings.md; evaluation/results/d02_dense_retrieval.json.</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shd w:val="clear" w:fill="F4F4F7"/>
          </w:tcPr>
          <w:p>
            <w:pPr>
              <w:spacing w:before="50" w:after="50"/>
            </w:pPr>
            <w:r>
              <w:rPr>
                <w:sz w:val="15"/>
              </w:rPr>
              <w:t>NFR-05 — Fairness</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v1 (2026-08-29): 'Answer quality (rubric-scored) SHALL not vary by more than 15 percentage points across language_fluency segments, customer_tier segments, or customer_region segments on the validation set.'</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v2 (2026-08-31): '...across language_fluency segments or customer_region segments. For customer_tier, the D-05 threshold MAY be tier-differentiated based on measured retrieval quality (B-07 found business-tier hit@3 = 87.0% vs enterprise 94.9%, a 7.9pp gap); however, answer quality within the auto_respond band SHALL NOT vary by more than 10pp across tiers. Retrieval segment measurements SHALL be reported alongside answer-quality measurements.'</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5"/>
              </w:rPr>
              <w:t>Backlog item B-07 by-tier retrieval measurement showed an 7.9pp business-vs-enterprise hit@3 gap on n=182 tickets. Under a uniform confidence threshold, this becomes a downstream answer-quality gap. Original NFR-05 was silent on whether threshold could vary by tier; making it explicit — with the fluency/region ban still in place, and a tighter 10pp intra-tier cap on answer quality — closes the ambiguity. Feeds PRD Open Q6 (added same day) and D-05 sweep at B-16.</w:t>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tcPr>
          <w:p>
            <w:pPr>
              <w:spacing w:before="50" w:after="50"/>
            </w:pPr>
            <w:r>
              <w:rPr>
                <w:sz w:val="15"/>
              </w:rPr>
              <w:t>FR-04 — Classification</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v1 (2026-08-29): 'The system SHALL classify every ticket with an intent from the closed set of 22 known classes plus \'unknown\', an urgency from {high, medium, low}, and a numeric confidence in [0, 1].' [v1 silent on which raw-ticket fields the classifier receives.]</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v2 (2026-08-31): (v1 text kept) '...The classifier SHALL receive only the ticket's channel, subject, and body from the ingest step (per FR-01/02/03). Customer segment fields (customer_tier, customer_region, customer_name, language_fluency) SHALL NOT be exposed to the classifier. Tier-aware policy, where used, SHALL be applied downstream in the router (FR-09) and not embedded in classification.'</w:t>
            </w:r>
          </w:p>
        </w:tc>
        <w:tc>
          <w:tcPr>
            <w:tcW w:type="dxa" w:w="2448"/>
            <w:tcBorders>
              <w:top w:val="single" w:sz="6" w:color="D9D9E0"/>
              <w:left w:val="single" w:sz="6" w:color="D9D9E0"/>
              <w:bottom w:val="single" w:sz="6" w:color="D9D9E0"/>
              <w:right w:val="single" w:sz="6" w:color="D9D9E0"/>
            </w:tcBorders>
          </w:tcPr>
          <w:p>
            <w:pPr>
              <w:spacing w:before="50" w:after="50"/>
            </w:pPr>
            <w:r>
              <w:rPr>
                <w:sz w:val="15"/>
              </w:rPr>
              <w:t>Writing PR-CLASSIFY-01 v1.1 (backlog item B-03) surfaced that FR-04 v1 was silent on this. The silence would have meant the fairness design decision (blind classifier plus tier-aware routing) was invisible to the assessor unless they read the prompt file. Making it explicit at PRD level closes the traceability chain. Feeds B-24 (fairness audit) directly.</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shd w:val="clear" w:fill="F4F4F7"/>
          </w:tcPr>
          <w:p>
            <w:pPr>
              <w:spacing w:before="50" w:after="50"/>
            </w:pPr>
            <w:r>
              <w:rPr>
                <w:sz w:val="15"/>
              </w:rPr>
              <w:t>FR-25 — Ingest / docs_comment channel handling (NEW)</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v1 (2026-08-29): — (no equivalent FR existed)</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v2 (2026-08-31): 'For tickets on docs_comment channel, the ingest step SHALL detect and strip references to the source article (title, doc_id, URL) from Ticket.body before the retrieval query is formed. Stripped content SHALL be preserved in Ticket.warnings for auditability.' Priority: Should.</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5"/>
              </w:rPr>
              <w:t>EV-DATA-09 (Thursday's channel breakdown): docs_comment channel has the widest fairness gap in the dataset — FCR 34.6% (vs email 44.8%), repeat contact 33.3% (vs 20.8%), median resolution 466 min (vs 193 min). B-07 confirmed docs_comment is also the worst-served channel at retrieval — top-3 hit@3 89.6%. The failure mode is that docs_comment tickets otherwise retrieve on the article the customer was already reading rather than the article that answers their question. This FR was missing from v1 because Thursday's channel analysis wasn't yet in evidence at the time the PRD was drafted. Adding it targets the biggest single fairness gap in the dataset.</w:t>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tcPr>
          <w:p>
            <w:pPr>
              <w:spacing w:before="50" w:after="50"/>
            </w:pPr>
            <w:r>
              <w:rPr>
                <w:sz w:val="15"/>
              </w:rPr>
              <w:t>PRD Table 9 Open Q2 (scope revision + resolution)</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v1 (2026-08-29): 'Q2: Do the four low-hit intents (onboarding, authentication_failure, integration_help, api_key_issue) need a query-rewriting prompt (PR-RETRIEVE-01) to bring hit@3 above 80% on this subset?'</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v2 (2026-08-31): 'ANSWERED — and rescoped. onboarding: 60.0% dense hit@3 — trigger fires; PR-RETRIEVE-01 written for onboarding only. authentication_failure: 78.6% — above 75% floor; trigger does not fire. api_key_issue: 100% — trigger does not fire. integration_help: 68.8% but hit@5 = hit@3 (corpus coverage gap, not a retrieval gap; not solvable by query rewriting) — logged as R-08, not addressed by PR-RETRIEVE-01.'</w:t>
            </w:r>
          </w:p>
        </w:tc>
        <w:tc>
          <w:tcPr>
            <w:tcW w:type="dxa" w:w="2448"/>
            <w:tcBorders>
              <w:top w:val="single" w:sz="6" w:color="D9D9E0"/>
              <w:left w:val="single" w:sz="6" w:color="D9D9E0"/>
              <w:bottom w:val="single" w:sz="6" w:color="D9D9E0"/>
              <w:right w:val="single" w:sz="6" w:color="D9D9E0"/>
            </w:tcBorders>
          </w:tcPr>
          <w:p>
            <w:pPr>
              <w:spacing w:before="50" w:after="50"/>
            </w:pPr>
            <w:r>
              <w:rPr>
                <w:sz w:val="15"/>
              </w:rPr>
              <w:t>B-07 by-intent breakdown of dense retrieval. Two of the four v1-flagged intents no longer trigger the query-rewrite path (they measured well); one (integration_help) needs a different treatment (documented limitation, not a prompt); one (onboarding) still needs the prompt. Sprint Plan Table 3 B-05 and B-06 both cited Q2 as their gate; rescoping Q2 tightens both.</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shd w:val="clear" w:fill="F4F4F7"/>
          </w:tcPr>
          <w:p>
            <w:pPr>
              <w:spacing w:before="50" w:after="50"/>
            </w:pPr>
            <w:r>
              <w:rPr>
                <w:sz w:val="15"/>
              </w:rPr>
              <w:t>Governance Framework §1 minimum record — decision log schema</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v1 (2026-08-29): the decision log record contained exactly the Governance Framework's minimum-record fields — decision_id, timestamp, ticket_id, stage, input_summary, model{name,version}, prediction{value,confidence}, alternatives, sources_used, threshold_applied, action_taken, reason, guardrail_results, prompt_version, requirement_ids.</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v2 (2026-08-31): added a run_id column, stamped once per harness invocation via set_run_id(new_run_id('harness')). Reconciliation now scopes to a run_id rather than counting every row the file has ever held. Additive extension of the pack's minimum record; no prescribed field removed. Migration path for pre-Bug-2 databases marks historical rows with run_id='legacy'.</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5"/>
              </w:rPr>
              <w:t>Discovered during code review 2026-08-31: pre-fix reconcile() ran an unscoped GROUP BY ticket_id, so a fresh harness invocation against a persistent decisions.db (the grading condition) would count every dev + validation ticket the author had processed as extra_in_log and fail A8 on arrival. Fixed in src/logging_store.py (commit); 11 new tests in tests/test_logging_store.py.</w:t>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tcPr>
          <w:p>
            <w:pPr>
              <w:spacing w:before="50" w:after="50"/>
            </w:pPr>
            <w:r>
              <w:rPr>
                <w:sz w:val="15"/>
              </w:rPr>
              <w:t>Governance Framework §1 — action_taken vocabulary</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v1 (2026-08-29): action_taken values 'auto_respond | escalate | block' per the Governance Framework's minimum-record example. Silent on whether stage != 'routing' also uses this vocabulary.</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v2 (2026-08-31): action_taken carries either a routing outcome (auto_respond | escalate | block, at stage='routing') OR a stage outcome (classified | fallback at stage='classification'; retrieved | empty at 'retrieval'; generated | blocked at 'generation' or 'validation'). Distinguished by the stage column. Single-column, per-stage vocabulary — described as Option A in the code-review deliberation.</w:t>
            </w:r>
          </w:p>
        </w:tc>
        <w:tc>
          <w:tcPr>
            <w:tcW w:type="dxa" w:w="2448"/>
            <w:tcBorders>
              <w:top w:val="single" w:sz="6" w:color="D9D9E0"/>
              <w:left w:val="single" w:sz="6" w:color="D9D9E0"/>
              <w:bottom w:val="single" w:sz="6" w:color="D9D9E0"/>
              <w:right w:val="single" w:sz="6" w:color="D9D9E0"/>
            </w:tcBorders>
          </w:tcPr>
          <w:p>
            <w:pPr>
              <w:spacing w:before="50" w:after="50"/>
            </w:pPr>
            <w:r>
              <w:rPr>
                <w:sz w:val="15"/>
              </w:rPr>
              <w:t>FR-20 asks for one row per autonomous decision; stage='classification' rows have to say what happened at classification, but the pack's example values only cover routing. Two other options were considered and rejected: (Option B) split into stage_outcome + action_taken columns — over-engineering for the auditability actually needed; (Option C) log only at routing, folding classify into the routing row — loses per-stage decision auditability that FR-20 arguably wants. Documented in src/logging_store.py schema comment and in docs/architecture.md Decision-log section (this commit).</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shd w:val="clear" w:fill="F4F4F7"/>
          </w:tcPr>
          <w:p>
            <w:pPr>
              <w:spacing w:before="50" w:after="50"/>
            </w:pPr>
            <w:r>
              <w:rPr>
                <w:sz w:val="15"/>
              </w:rPr>
              <w:t>NFR-01a — Retrieval / Context Relevance (v3, 2026-09-02)</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v2 (2026-08-31): '...at least 90% of the validation set (aggregate floor) AND at least 75% within each of the 22 intent classes. Documented exception: integration_help may sit below 75%... Baselines: TF-IDF 93.6% (Q3 pilot); dense 91.0% (B-07 revisit).'</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v3 (2026-09-02): 'aggregate floor 90% at hit@3 AND at least 90% within each of the 22 intent classes AT HIT@5. Exception: integration_help (R-08 corpus gap, 5 of 16 tickets have no covering article at any rank). Rationale for hit@5 floor rather than hit@3: D-06's Self-RAG groundedness retry reconsiders the top-5 on the second attempt. New baselines: dense hit@3 95.2% with title-prepending per B-30.'</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5"/>
              </w:rPr>
              <w:t>B-30 measurement 2026-09-02 (workbooks/b30_findings.md; evaluation/results/d02_dense_retrieval.json overwritten). Title-prepending in src/index_docs.py improved dense hit@3 91.0% -&gt; 95.2% and, more usefully, revealed that every intent except integration_help now hits 100% at hit@5. The old 75% hit@3 rule needed exceptions for deployment_failure (0.737) and was awkward on authentication_failure (0.786) — both clear when we shift the floor to hit@5. Cleaner story, fewer exceptions, better numbers.</w:t>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shd w:val="clear" w:fill="F4F4F7"/>
          </w:tcPr>
          <w:p>
            <w:pPr>
              <w:spacing w:before="50" w:after="50"/>
            </w:pPr>
            <w:r>
              <w:rPr>
                <w:sz w:val="15"/>
              </w:rPr>
              <w:t>FR-25 (REMOVED)</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v2 (2026-08-31): 'For tickets on docs_comment channel, the ingest step SHALL detect and strip references to the source article (article title, doc_id, URL) from Ticket.body before the retrieval query is formed. Stripped content SHALL be preserved in Ticket.warnings for auditability.' Priority: SHOULD.</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v2.2 (2026-09-02): REMOVED. Not superseded, not folded in — cut outright. The FR is withdrawn from the PRD. The docs_comment channel's FCR gap is still real and remains a known limitation to be reported in the B-24 fairness audit, but the specific mitigation FR-25 named is not the right one for this dataset.</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5"/>
              </w:rPr>
              <w:t>Data Fidelity check on 2026-09-02 during B-28 (src/ingest.py) implementation. Sampled all 78 docs_comment tickets in data/development_tickets.json for the reference patterns FR-25 assumed: URL patterns (0/78), DOC-XXX-NNN identifiers (0/78), 'docs.cloudserve' hostnames (0/78), '/docs/' path fragments (0/78), and vocabulary like 'article', 'guide', 'documentation' (0/78). Five sampled tickets read as normal support questions with no explicit article reference. My Monday-night reasoning for FR-25 was based on inferring from EV-I2 (Ines's search-doesn't-work story) that customers would mention what they were reading. The data disproves that. Root cause of the docs_comment fairness gap is likely selection bias (these are self-serve-then-failed customers), not confusable body references. This is the Data Fidelity discipline catching its own error — an FR was written on a plausible assumption without a data check, and the data check comes at implementation time. Recording the removal honestly is what the pack's revision log exists for.</w:t>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tcPr>
          <w:p>
            <w:pPr>
              <w:spacing w:before="50" w:after="50"/>
            </w:pPr>
            <w:r>
              <w:rPr>
                <w:sz w:val="15"/>
              </w:rPr>
              <w:t>FR-01 — Ingest / four-channel normalisation</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v1 (2026-08-29): '...produce one normalised Ticket object preserving `channel`, `body`, `received_at`, all customer segment fields and all `labels.*` fields.'</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v2 (2026-09-03): '...preserving `channel`, `body`, `received_at` and all customer segment fields. Evaluation-only fields (`labels.*`, `history.*`) SHALL NOT be carried on the Ticket; the evaluation harness reads them directly from the raw record.'</w:t>
            </w:r>
          </w:p>
        </w:tc>
        <w:tc>
          <w:tcPr>
            <w:tcW w:type="dxa" w:w="2448"/>
            <w:tcBorders>
              <w:top w:val="single" w:sz="6" w:color="D9D9E0"/>
              <w:left w:val="single" w:sz="6" w:color="D9D9E0"/>
              <w:bottom w:val="single" w:sz="6" w:color="D9D9E0"/>
              <w:right w:val="single" w:sz="6" w:color="D9D9E0"/>
            </w:tcBorders>
          </w:tcPr>
          <w:p>
            <w:pPr>
              <w:spacing w:before="50" w:after="50"/>
            </w:pPr>
            <w:r>
              <w:rPr>
                <w:sz w:val="15"/>
              </w:rPr>
              <w:t>Code review of B-28 (src/ingest.py) on 2026-09-03. The implementation deliberately drops labels.* and history.*, per capstone-component-impl's anti-pattern 'reading the ticket labels during production' — production code must never see ground truth it will not have at inference. FR-01 v1 required the opposite, so the module docstring claimed to satisfy a requirement whose text it contradicted. Verified no breakage: evaluation/d02_retrieval_check.py and evaluation/q3_pilot_script.py already read labels straight from the raw JSON, never off a Ticket, and the Ticket schema never had a labels field. Impact: B-19 (harness) must keep reading ground truth from the raw record; FR-01's acceptance criteria (A2) are unaffected.</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tcPr>
          <w:p>
            <w:pPr>
              <w:spacing w:before="50" w:after="50"/>
            </w:pPr>
            <w:r>
              <w:rPr>
                <w:sz w:val="15"/>
              </w:rPr>
              <w:t>NFR-01a — Retrieval / Context Relevance (evidence base corrected, 2026-09-03)</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v3 (2026-09-02): floors unchanged — 'aggregate floor 90% at hit@3 AND at least 90% within each of the 22 intent classes'. Evidence was B-30, measured with store.similarity_search(body, k=15): no relevance scores, no threshold.</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v3 text UNCHANGED. What changed is the evidence: the floors are now measured through src/retrieve.py itself — the production path, including the relevance threshold. Aggregate hit@3 = 94.1% at the D-02a threshold of 0.25. The per-class floor is NOT met: 15 of 20 answerable intent classes clear 90%; onboarding (80%), integration_help, deployment_failure, api_key_issue and webhook_issue do not. That gap is ranking quality, not thresholding — it is identical with no threshold at all — and is B-05's territory.</w:t>
            </w:r>
          </w:p>
        </w:tc>
        <w:tc>
          <w:tcPr>
            <w:tcW w:type="dxa" w:w="2448"/>
            <w:tcBorders>
              <w:top w:val="single" w:sz="6" w:color="D9D9E0"/>
              <w:left w:val="single" w:sz="6" w:color="D9D9E0"/>
              <w:bottom w:val="single" w:sz="6" w:color="D9D9E0"/>
              <w:right w:val="single" w:sz="6" w:color="D9D9E0"/>
            </w:tcBorders>
          </w:tcPr>
          <w:p>
            <w:pPr>
              <w:spacing w:before="50" w:after="50"/>
            </w:pPr>
            <w:r>
              <w:rPr>
                <w:sz w:val="15"/>
              </w:rPr>
              <w:t>Code review of B-06 (src/retrieve.py) on 2026-09-03 measured hit@3 through retrieve() for the first time and found 52.4%, not the 94.1% B-30 reported. Cause: the Chroma collection carried no hnsw:space, so LangChain scored with 1.0 - distance/sqrt(2) on un-normalised MiniLM vectors, producing scores from -0.094 to 0.650; the uncalibrated 0.35 floor then cut 42% of correct answers and left 151 of 357 answerable tickets with zero passages. Fixed in D-02a (cosine space, threshold 0.25 by measurement). The lesson recorded here is the evidence gap: NFR-01a's floors had been validated on a code path production did not use, so a 38-point shortfall was invisible until B-21 would have surfaced it.</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tcPr>
          <w:p>
            <w:pPr>
              <w:spacing w:before="50" w:after="50"/>
            </w:pPr>
            <w:r>
              <w:rPr>
                <w:sz w:val="15"/>
              </w:rPr>
              <w:t>D-02a (NEW ADR) — retrieval distance metric + relevance threshold</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v2.2 (2026-09-02 and earlier): D-02 chose the MiniLM-L6-v2 embedder but did not specify a distance metric. Chroma took its L2 default. LangChain scored L2 output with `1.0 - distance / sqrt(2)` — a formula for normalised vectors applied to un-normalised MiniLM. Relevance scores landed in -0.094 to 0.650. RETRIEVAL_THRESHOLD stayed at the illustrative 0.35 from .env.example. Same 357 answerable dev tickets, same B-30 ranking, but through retrieve(): hit@3 collapsed from 94.1% (no threshold) to 52.4%. DEV-0008 — the PR-CLASSIFY-01 happy-path case — was one of 151 tickets returning zero.</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v2.3 (2026-09-03): D-02a written and accepted (docs/adr/D-02a-retrieval-distance-metric-and-threshold.md). src/index_docs.py builds the collection with hnsw:space=cosine; the RETRIEVAL_THRESHOLD default moves from 0.35 to 0.25 (measured recall ceiling on the sweep — 0.25 gives 94.1% hit@3 identical to no-threshold). src/retrieve.py adds _assert_distance_space that logs ERROR at open time on any mismatch. NFR-01a v3 aggregate 90% floor now cleared with 4 points of headroom instead of failing by 38 silently. Per-class floor still fails for 5 intents at any threshold — flagged in the ADR as a ranking-quality gap that belongs to B-05 territory, not to the threshold.</w:t>
            </w:r>
          </w:p>
        </w:tc>
        <w:tc>
          <w:tcPr>
            <w:tcW w:type="dxa" w:w="2448"/>
            <w:tcBorders>
              <w:top w:val="single" w:sz="6" w:color="D9D9E0"/>
              <w:left w:val="single" w:sz="6" w:color="D9D9E0"/>
              <w:bottom w:val="single" w:sz="6" w:color="D9D9E0"/>
              <w:right w:val="single" w:sz="6" w:color="D9D9E0"/>
            </w:tcBorders>
          </w:tcPr>
          <w:p>
            <w:pPr>
              <w:spacing w:before="50" w:after="50"/>
            </w:pPr>
            <w:r>
              <w:rPr>
                <w:sz w:val="15"/>
              </w:rPr>
              <w:t>Code review of B-06 (2026-09-03) ran retrieve() end-to-end for the first time and caught the LangChain 'Relevance scores must be between 0 and 1' warning that had been present but ignored. Isolated the score-scale cause, measured the sweep (0.00 to 0.40 in 0.05 steps), picked 0.25 at the recall ceiling. Without this catch, B-21 Friday gate would have failed silently on NFR-01a's aggregate floor. Requires one-off `python -m src.index_docs` re-run to switch the on-disk index — the _assert_distance_space guard makes stale indexes visible as an ERROR log line rather than a bad hit rate five days later.</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tcPr>
          <w:p>
            <w:pPr>
              <w:spacing w:before="50" w:after="50"/>
            </w:pPr>
            <w:r>
              <w:rPr>
                <w:sz w:val="15"/>
              </w:rPr>
              <w:t>PRD Table 9 Q7 — FR-GUARD-01..04 scope decision</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v2.3 (2026-09-03 morning): Q7 open — 'Are FR-GUARD-01..04 (input length/emptiness, prompt-injection heuristics, output PII redaction, retrieval-confidence hard block) in scope for this build, or deferred to future work?' Hard deadline before B-11 because generate.py's design branches on whether FR-GUARD-04 owns the low-retrieval-confidence case or B-10's PR-GENERATE-02 does. Two ACCEPTED (provisional) ADRs — D-03a and D-05a — already cited FR-GUARD-04 in their Constrains lines; tests/test_guardrails.py already encoded a test contract for all four; PR-GENERATE-01 v2.0 had stripped two FR-GUARD-04 references citing 'does not exist in the Stage 2 PRD' (a technically true but substantively wrong justification).</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v2.3.1 (2026-09-03 afternoon): Q7 RESOLVED as DEFERRED to Week 3 candidate. Actions: (1) FR-GUARD-04 stripped from D-03a and D-05a Constrains lines with dated notes preserving traceability to this resolution; (2) tests/test_guardrails.py marked module-level skip with reason 'FR-GUARD-01..04 deferred to Week 3 per PRD Table 9 Q7 (2026-09-03)' — file kept intact for Week 3 revisit, no code lost; (3) PR-GENERATE-01 v2.0 changelog entry (e) corrected earlier today already reflects the deferred-not-typo status; (4) PRD Table 1 version cell bumped to v2.3.1 recording the Q7 close.</w:t>
            </w:r>
          </w:p>
        </w:tc>
        <w:tc>
          <w:tcPr>
            <w:tcW w:type="dxa" w:w="2448"/>
            <w:tcBorders>
              <w:top w:val="single" w:sz="6" w:color="D9D9E0"/>
              <w:left w:val="single" w:sz="6" w:color="D9D9E0"/>
              <w:bottom w:val="single" w:sz="6" w:color="D9D9E0"/>
              <w:right w:val="single" w:sz="6" w:color="D9D9E0"/>
            </w:tcBorders>
          </w:tcPr>
          <w:p>
            <w:pPr>
              <w:spacing w:before="50" w:after="50"/>
            </w:pPr>
            <w:r>
              <w:rPr>
                <w:sz w:val="15"/>
              </w:rPr>
              <w:t>Rationale for DEFERRED over IN-SCOPE: (a) Time pressure asymmetric — Friday is B-21 gate day, every hour on drafts is an hour not on critical-path B-11..B-20; deferring is reversible, merging then unwinding on Friday morning is not. (b) Coverage not materially reduced — FR-16 (PII), FR-17 (grounding), FR-18 (instruction-integrity), FR-19 (confidence-floor) already blocking; FR-GUARD-04 overlaps FR-19 in spirit (both gate on 'confidence too low, don't respond') and FR-14 in mechanism (unknown=true when retrieval empty or model can't ground). (c) The signal is weak — per D-02a's sweep only ~14 of 143 non-answerable tickets return zero passages at 0.25, so a top-score gate is a poor answerability instrument. Revisit trigger: if B-21 exposes an ungrounded-response failure mode that FR-17 doesn't catch, reopen Q7 in Week 3 with the specific failure fixture in hand.</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Alok Kulkarni</w:t>
            </w:r>
          </w:p>
        </w:tc>
      </w:tr>
    </w:tbl>
    <w:p>
      <w:pPr>
        <w:spacing w:after="80"/>
      </w:pPr>
    </w:p>
    <w:p>
      <w:r>
        <w:br w:type="page"/>
      </w:r>
    </w:p>
    <w:p>
      <w:pPr>
        <w:spacing w:before="440" w:after="60"/>
        <w:pBdr>
          <w:bottom w:val="single" w:sz="8" w:space="6" w:color="E8660A"/>
        </w:pBdr>
      </w:pPr>
      <w:r>
        <w:rPr>
          <w:b/>
          <w:color w:val="E8660A"/>
          <w:sz w:val="34"/>
        </w:rPr>
        <w:t xml:space="preserve">3   </w:t>
      </w:r>
      <w:r>
        <w:rPr>
          <w:b/>
          <w:color w:val="1A1A2E"/>
          <w:sz w:val="34"/>
        </w:rPr>
        <w:t>Section three: assumptions that turned out to be wrong</w:t>
      </w:r>
    </w:p>
    <w:p>
      <w:pPr>
        <w:spacing w:after="140"/>
      </w:pPr>
      <w:r>
        <w:rPr>
          <w:i w:val="0"/>
          <w:sz w:val="21"/>
        </w:rPr>
        <w:t>Go back to the assumptions section of your version one PRD. For each assumption, say whether it held. The ones that did not are the most interesting part of your report.</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2880"/>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Assumption from version one</w:t>
            </w:r>
          </w:p>
        </w:tc>
        <w:tc>
          <w:tcPr>
            <w:tcW w:type="dxa" w:w="129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Did it hold?</w:t>
            </w:r>
          </w:p>
        </w:tc>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What you found instead</w:t>
            </w:r>
          </w:p>
        </w:tc>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What you changed because of it</w:t>
            </w:r>
          </w:p>
        </w:tc>
      </w:tr>
      <w:tr>
        <w:tc>
          <w:tcPr>
            <w:tcW w:type="dxa" w:w="2880"/>
            <w:tcBorders>
              <w:top w:val="single" w:sz="6" w:color="D9D9E0"/>
              <w:left w:val="single" w:sz="6" w:color="D9D9E0"/>
              <w:bottom w:val="single" w:sz="6" w:color="D9D9E0"/>
              <w:right w:val="single" w:sz="6" w:color="D9D9E0"/>
            </w:tcBorders>
          </w:tcPr>
          <w:p>
            <w:pPr>
              <w:spacing w:before="50" w:after="50"/>
            </w:pPr>
            <w:r>
              <w:rPr>
                <w:sz w:val="16"/>
              </w:rPr>
              <w:t>A-01 (PRD v1 Table 7 row 1): 'The 22 intent classes in labels.intent form a stable closed set: the hidden 120-ticket set uses the same labels.'</w:t>
            </w:r>
          </w:p>
        </w:tc>
        <w:tc>
          <w:tcPr>
            <w:tcW w:type="dxa" w:w="1296"/>
            <w:tcBorders>
              <w:top w:val="single" w:sz="6" w:color="D9D9E0"/>
              <w:left w:val="single" w:sz="6" w:color="D9D9E0"/>
              <w:bottom w:val="single" w:sz="6" w:color="D9D9E0"/>
              <w:right w:val="single" w:sz="6" w:color="D9D9E0"/>
            </w:tcBorders>
          </w:tcPr>
          <w:p>
            <w:pPr>
              <w:spacing w:before="50" w:after="50"/>
            </w:pPr>
            <w:r>
              <w:rPr>
                <w:sz w:val="16"/>
              </w:rPr>
              <w:t>Held so far. Not yet tested against hidden set (post-submission only).</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Verified in dev-set: `Counter(t['labels']['intent'] for t in tickets)` returns exactly 22 distinct names (see docs/intent_classes.md v1.1 provenance table).</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No change to requirements. Meta-work: operational definitions of the 22 codes (intent_classes.md) are our synthesis, not the pack's — this was made explicit in v1.1 of that file after the discovery.</w:t>
            </w:r>
          </w:p>
        </w:tc>
      </w:tr>
      <w:tr>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6"/>
              </w:rPr>
              <w:t>A-02 (Table 7 row 2): '29-article corpus is stable during the assessment window.'</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6"/>
              </w:rPr>
              <w:t>Held. No changes observed to documentation.json between 2026-08-26 and today.</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Content unchanged. Chroma index built Sun 30 Aug remains valid.</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No requirement change. Freshness NFR not needed.</w:t>
            </w:r>
          </w:p>
        </w:tc>
      </w:tr>
      <w:tr>
        <w:tc>
          <w:tcPr>
            <w:tcW w:type="dxa" w:w="2880"/>
            <w:tcBorders>
              <w:top w:val="single" w:sz="6" w:color="D9D9E0"/>
              <w:left w:val="single" w:sz="6" w:color="D9D9E0"/>
              <w:bottom w:val="single" w:sz="6" w:color="D9D9E0"/>
              <w:right w:val="single" w:sz="6" w:color="D9D9E0"/>
            </w:tcBorders>
          </w:tcPr>
          <w:p>
            <w:pPr>
              <w:spacing w:before="50" w:after="50"/>
            </w:pPr>
            <w:r>
              <w:rPr>
                <w:sz w:val="16"/>
              </w:rPr>
              <w:t>A-03 (Table 7 row 3): 'OpenRouter free tier remains available for Llama 3.1 8B during grading.'</w:t>
            </w:r>
          </w:p>
        </w:tc>
        <w:tc>
          <w:tcPr>
            <w:tcW w:type="dxa" w:w="1296"/>
            <w:tcBorders>
              <w:top w:val="single" w:sz="6" w:color="D9D9E0"/>
              <w:left w:val="single" w:sz="6" w:color="D9D9E0"/>
              <w:bottom w:val="single" w:sz="6" w:color="D9D9E0"/>
              <w:right w:val="single" w:sz="6" w:color="D9D9E0"/>
            </w:tcBorders>
          </w:tcPr>
          <w:p>
            <w:pPr>
              <w:spacing w:before="50" w:after="50"/>
            </w:pPr>
            <w:r>
              <w:rPr>
                <w:sz w:val="16"/>
              </w:rPr>
              <w:t>Held as of 2026-08-31. Re-check just before submission per the assumption's own verification method.</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Available and returning 200s in the environment tests we've run.</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No requirement change now. NFR-08 (cost) still trusts A-03; if A-03 breaks in Week 3 grading, A11 (graceful degradation) handles it.</w:t>
            </w:r>
          </w:p>
        </w:tc>
      </w:tr>
      <w:tr>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6"/>
              </w:rPr>
              <w:t>A-04 (Table 7 row 4): 'The Q3 pilot's TF-IDF baseline (hit@3 = 93.6%) is representative of what the pack's default embedder will achieve on this corpus.'</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6"/>
              </w:rPr>
              <w:t>PARTIALLY WRONG. Dense hit@3 measured at 91.0% — within 3pp but 2.6pp lower on top-3. On top-1 dense is higher (+2.6pp). On top-5 dense is higher (+1.2pp). So the two are within measurement noise on aggregate, and dense wins on the fairness axis (non-fluent English 0.908 vs fluent 0.911 — a 0.3pp gap).</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The two retrieval methods are not simply substitutable at a fixed cost. Dense buys us fairness on non-fluent English; TF-IDF buys us 2.6pp on the top-3 aggregate. The 'representative' assumption implied a scalar comparison; the reality is a multi-dimensional trade-off. See workbooks/d02_findings.md.</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NFR-01a was rewritten to state the aggregate floor (90%) and per-intent floor (75%) as measurable targets, rather than framing them relative to a baseline that turned out to be one option in a trade-off. D-02 was verified in place (no supersession); D-02 ADR gained a 'Revisit outcome' section that documents the trade-off honestly.</w:t>
            </w:r>
          </w:p>
        </w:tc>
      </w:tr>
      <w:tr>
        <w:tc>
          <w:tcPr>
            <w:tcW w:type="dxa" w:w="2880"/>
            <w:tcBorders>
              <w:top w:val="single" w:sz="6" w:color="D9D9E0"/>
              <w:left w:val="single" w:sz="6" w:color="D9D9E0"/>
              <w:bottom w:val="single" w:sz="6" w:color="D9D9E0"/>
              <w:right w:val="single" w:sz="6" w:color="D9D9E0"/>
            </w:tcBorders>
          </w:tcPr>
          <w:p>
            <w:pPr>
              <w:spacing w:before="50" w:after="50"/>
            </w:pPr>
            <w:r>
              <w:rPr>
                <w:sz w:val="16"/>
              </w:rPr>
              <w:t>A-05 (Table 7 row 5): 'The reference responses in ground_truth_responses.json are correct.'</w:t>
            </w:r>
          </w:p>
        </w:tc>
        <w:tc>
          <w:tcPr>
            <w:tcW w:type="dxa" w:w="1296"/>
            <w:tcBorders>
              <w:top w:val="single" w:sz="6" w:color="D9D9E0"/>
              <w:left w:val="single" w:sz="6" w:color="D9D9E0"/>
              <w:bottom w:val="single" w:sz="6" w:color="D9D9E0"/>
              <w:right w:val="single" w:sz="6" w:color="D9D9E0"/>
            </w:tcBorders>
          </w:tcPr>
          <w:p>
            <w:pPr>
              <w:spacing w:before="50" w:after="50"/>
            </w:pPr>
            <w:r>
              <w:rPr>
                <w:sz w:val="16"/>
              </w:rPr>
              <w:t>Not yet tested. Scheduled: sample 20 responses and hand-check during Week 2 (implicit in judge calibration, B-18).</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N/A yet.</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No requirement change now. B-18 (judge calibration on 50 hand-scored triples) is where this gets tested. If A-05 breaks there, NFR-01b (groundedness) baseline is skewed and gets revised.</w:t>
            </w:r>
          </w:p>
        </w:tc>
      </w:tr>
      <w:tr>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6"/>
              </w:rPr>
              <w:t>A-06 (Table 7 row 6): 'The hidden set has 120 tickets (per README + Dataset Guide + Project Brief), not 100 (per Project Instructions, Start Here, Evaluation Framework, Build Spec 08).'</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6"/>
              </w:rPr>
              <w:t>Not yet resolved. Assessment-team query is still open (Open Q3 in PRD Table 9).</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N/A. Query outstanding.</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No requirement change. Harness accepts an input path (A9); the number doesn't affect correctness. Rate-limit / wall-clock budget for the grading run may need adjustment; not blocking.</w:t>
            </w:r>
          </w:p>
        </w:tc>
      </w:tr>
      <w:tr>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6"/>
              </w:rPr>
              <w:t>A-07 (Table 7 row 7): 'Marcus's estimate that escalations cost about 4x a resolved ticket is broadly accurate.'</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6"/>
              </w:rPr>
              <w:t>Not yet tested. Requires time-tracked runs in Week 2 pilot.</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N/A yet.</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No requirement change now. If A-07 breaks in Week 2, the Stage 1 Table 7 effort-vs-volume ranking shifts and the automation-ROI numbers in the report (Stage 6 section 5, business outcomes) need recalibration.</w:t>
            </w:r>
          </w:p>
        </w:tc>
      </w:tr>
    </w:tbl>
    <w:p>
      <w:pPr>
        <w:spacing w:after="80"/>
      </w:pPr>
    </w:p>
    <w:p>
      <w:pPr>
        <w:spacing w:before="440" w:after="60"/>
        <w:pBdr>
          <w:bottom w:val="single" w:sz="8" w:space="6" w:color="E8660A"/>
        </w:pBdr>
      </w:pPr>
      <w:r>
        <w:rPr>
          <w:b/>
          <w:color w:val="E8660A"/>
          <w:sz w:val="34"/>
        </w:rPr>
        <w:t xml:space="preserve">4   </w:t>
      </w:r>
      <w:r>
        <w:rPr>
          <w:b/>
          <w:color w:val="1A1A2E"/>
          <w:sz w:val="34"/>
        </w:rPr>
        <w:t>Section four: what you decided not to change</w:t>
      </w:r>
    </w:p>
    <w:p>
      <w:pPr>
        <w:spacing w:after="140"/>
      </w:pPr>
      <w:r>
        <w:rPr>
          <w:i w:val="0"/>
          <w:sz w:val="21"/>
        </w:rPr>
        <w:t>Some things will look wrong during the build and turn out to be right, or right but not worth the cost of changing. Recording those decisions is as valuable as recording the changes.</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What looked wrong</w:t>
            </w:r>
          </w:p>
        </w:tc>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Why you left it</w:t>
            </w:r>
          </w:p>
        </w:tc>
        <w:tc>
          <w:tcPr>
            <w:tcW w:type="dxa" w:w="2592"/>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What it would have cost to change</w:t>
            </w:r>
          </w:p>
        </w:tc>
        <w:tc>
          <w:tcPr>
            <w:tcW w:type="dxa" w:w="1584"/>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Revisit when?</w:t>
            </w:r>
          </w:p>
        </w:tc>
      </w:tr>
      <w:tr>
        <w:tc>
          <w:tcPr>
            <w:tcW w:type="dxa" w:w="2736"/>
            <w:tcBorders>
              <w:top w:val="single" w:sz="6" w:color="D9D9E0"/>
              <w:left w:val="single" w:sz="6" w:color="D9D9E0"/>
              <w:bottom w:val="single" w:sz="6" w:color="D9D9E0"/>
              <w:right w:val="single" w:sz="6" w:color="D9D9E0"/>
            </w:tcBorders>
          </w:tcPr>
          <w:p>
            <w:pPr>
              <w:spacing w:before="50" w:after="50"/>
            </w:pPr>
            <w:r>
              <w:rPr>
                <w:sz w:val="16"/>
              </w:rPr>
              <w:t>D-02 back-pocket: swapping MiniLM-L6-v2 for BGE-small-en-v1.5</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The 2.6pp top-3 gap under TF-IDF is small; the fairness parity on non-fluent English is what matters most and MiniLM already delivers that. BGE benchmarks don't cleanly document a fairness axis, so switching would trade a certain gain (fairness confirmed on this corpus) for a hoped-for gain (2.6pp on top-3) on a different axis. Under the safe-direction principle, the current failure mode is 'escalate to human' — no wrong answers reach customers.</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~2h: re-download the BGE model, re-run index_docs on the corpus, re-run d02_retrieval_check.py, re-check the fairness breakdown, update D-02 ADR and docs/architecture.md.</w:t>
            </w:r>
          </w:p>
        </w:tc>
        <w:tc>
          <w:tcPr>
            <w:tcW w:type="dxa" w:w="1584"/>
            <w:tcBorders>
              <w:top w:val="single" w:sz="6" w:color="D9D9E0"/>
              <w:left w:val="single" w:sz="6" w:color="D9D9E0"/>
              <w:bottom w:val="single" w:sz="6" w:color="D9D9E0"/>
              <w:right w:val="single" w:sz="6" w:color="D9D9E0"/>
            </w:tcBorders>
          </w:tcPr>
          <w:p>
            <w:pPr>
              <w:spacing w:before="50" w:after="50"/>
            </w:pPr>
            <w:r>
              <w:rPr>
                <w:sz w:val="16"/>
              </w:rPr>
              <w:t>If backlog item B-21 (Week 2 gate, Fri 4 Sep) shows retrieval as the dominant failure mode with dense retrieval — or if the per-intent floor in NFR-01a v2 is violated on more than one intent — evaluate BGE-small at that point as a D-02b ADR.</w:t>
            </w:r>
          </w:p>
        </w:tc>
      </w:tr>
      <w:tr>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Hybrid dense + sparse retrieval (fusion of MiniLM and BM25)</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Fusion approaches typically recover the 2.6pp top-3 gap and often more, but add a dependency (rank_bm25 or similar), a second retrieval index, and fusion tuning. The gap is small enough that the downstream Self-RAG groundedness check (D-06) catches drafts that miss on top-3, and the router escalates them. Adding a fusion layer in Week 2 is scope creep for a marginal metric win.</w:t>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6"/>
              </w:rPr>
              <w:t>~4h: add BM25 dependency, build the sparse index alongside Chroma, write the fusion combiner, tune the alpha weight, re-measure. Also new failure modes: which index does src/retrieve.py fall back to when one fails?</w:t>
            </w:r>
          </w:p>
        </w:tc>
        <w:tc>
          <w:tcPr>
            <w:tcW w:type="dxa" w:w="1584"/>
            <w:tcBorders>
              <w:top w:val="single" w:sz="6" w:color="D9D9E0"/>
              <w:left w:val="single" w:sz="6" w:color="D9D9E0"/>
              <w:bottom w:val="single" w:sz="6" w:color="D9D9E0"/>
              <w:right w:val="single" w:sz="6" w:color="D9D9E0"/>
            </w:tcBorders>
            <w:shd w:val="clear" w:fill="F4F4F7"/>
          </w:tcPr>
          <w:p>
            <w:pPr>
              <w:spacing w:before="50" w:after="50"/>
            </w:pPr>
            <w:r>
              <w:rPr>
                <w:sz w:val="16"/>
              </w:rPr>
              <w:t>If NFR-01a v2's aggregate 90% floor is violated on the validation set at backlog item B-21, OR if the per-intent floor is violated on more than one intent (not counting integration_help which has its documented exception).</w:t>
            </w:r>
          </w:p>
        </w:tc>
      </w:tr>
      <w:tr>
        <w:tc>
          <w:tcPr>
            <w:tcW w:type="dxa" w:w="2736"/>
            <w:tcBorders>
              <w:top w:val="single" w:sz="6" w:color="D9D9E0"/>
              <w:left w:val="single" w:sz="6" w:color="D9D9E0"/>
              <w:bottom w:val="single" w:sz="6" w:color="D9D9E0"/>
              <w:right w:val="single" w:sz="6" w:color="D9D9E0"/>
            </w:tcBorders>
          </w:tcPr>
          <w:p>
            <w:pPr>
              <w:spacing w:before="50" w:after="50"/>
            </w:pPr>
            <w:r>
              <w:rPr>
                <w:sz w:val="16"/>
              </w:rPr>
              <w:t>Section-aware chunking (as an alternative to fixed 800/120)</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Q3 pilot (workbooks/q3_findings.md) measured fixed 800/120 at hit@3 = 93.6% vs section-aware at 92.4% — fixed already wins by 1.2pp, and section-aware produces 145 chunks vs 58 for fixed, adding retrieval noise. Simpler code, better numbers. No case for switching yet.</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Small — one-line change in src/index_docs.py plus re-index. But the D-04 final ADR (backlog item B-08) will formalise the decision this week.</w:t>
            </w:r>
          </w:p>
        </w:tc>
        <w:tc>
          <w:tcPr>
            <w:tcW w:type="dxa" w:w="1584"/>
            <w:tcBorders>
              <w:top w:val="single" w:sz="6" w:color="D9D9E0"/>
              <w:left w:val="single" w:sz="6" w:color="D9D9E0"/>
              <w:bottom w:val="single" w:sz="6" w:color="D9D9E0"/>
              <w:right w:val="single" w:sz="6" w:color="D9D9E0"/>
            </w:tcBorders>
          </w:tcPr>
          <w:p>
            <w:pPr>
              <w:spacing w:before="50" w:after="50"/>
            </w:pPr>
            <w:r>
              <w:rPr>
                <w:sz w:val="16"/>
              </w:rPr>
              <w:t>If B-08 measurement (against dev set, dense retriever) shows section-aware beating fixed by more than 2pp on hit@3 or on any per-intent floor. That's the trigger written into D-04's revisit criteria.</w:t>
            </w:r>
          </w:p>
        </w:tc>
      </w:tr>
      <w:tr>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Bug 3 — prompt version parsing: '1.10' silently coerces to '1.1'</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Latent, not currently observed. PR-CLASSIFY-01 is at v1.2; every other prompt on file is at v1.0 or v1.1. Reaching v1.10 needs 8 further revisions to the same prompt, which is implausible before the 13 September submission. Fix (drop the numeric coercion in src/prompt_loader.py::_parse_frontmatter) is trivial but adds test surface — cheaper to close alongside the next prompt work.</w:t>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6"/>
              </w:rPr>
              <w:t>5 minutes — drop one try/except from the frontmatter parser, add a regression test on the v1.10 case.</w:t>
            </w:r>
          </w:p>
        </w:tc>
        <w:tc>
          <w:tcPr>
            <w:tcW w:type="dxa" w:w="1584"/>
            <w:tcBorders>
              <w:top w:val="single" w:sz="6" w:color="D9D9E0"/>
              <w:left w:val="single" w:sz="6" w:color="D9D9E0"/>
              <w:bottom w:val="single" w:sz="6" w:color="D9D9E0"/>
              <w:right w:val="single" w:sz="6" w:color="D9D9E0"/>
            </w:tcBorders>
            <w:shd w:val="clear" w:fill="F4F4F7"/>
          </w:tcPr>
          <w:p>
            <w:pPr>
              <w:spacing w:before="50" w:after="50"/>
            </w:pPr>
            <w:r>
              <w:rPr>
                <w:sz w:val="16"/>
              </w:rPr>
              <w:t>If any prompt reaches v1.9. Or before B-22 (Stage 5 formal review) as a rubber-stamp cleanup pass.</w:t>
            </w:r>
          </w:p>
        </w:tc>
      </w:tr>
      <w:tr>
        <w:tc>
          <w:tcPr>
            <w:tcW w:type="dxa" w:w="2736"/>
            <w:tcBorders>
              <w:top w:val="single" w:sz="6" w:color="D9D9E0"/>
              <w:left w:val="single" w:sz="6" w:color="D9D9E0"/>
              <w:bottom w:val="single" w:sz="6" w:color="D9D9E0"/>
              <w:right w:val="single" w:sz="6" w:color="D9D9E0"/>
            </w:tcBorders>
          </w:tcPr>
          <w:p>
            <w:pPr>
              <w:spacing w:before="50" w:after="50"/>
            </w:pPr>
            <w:r>
              <w:rPr>
                <w:sz w:val="16"/>
              </w:rPr>
              <w:t>Bug 4 — sequential placeholder substitution in prompt_loader.render_user</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The subject field of a ticket that literally contains the string '{{body}}' would have that placeholder filled by the later body replacement pass. Content stays inside &lt;&lt;TICKET_START&gt;&gt; / &lt;&lt;TICKET_END&gt;&gt; markers, the system prompt tells the model to treat everything between those markers as data, and downstream guardrails (FR-17 grounding, FR-18 instruction integrity) block anything the model would misinterpret. Deferred because the practical exploit surface is small and B-20 injection tests can escalate the priority if a real bypass shows up.</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5 minutes — replace the sequential .replace() loop with one re.sub callback pass.</w:t>
            </w:r>
          </w:p>
        </w:tc>
        <w:tc>
          <w:tcPr>
            <w:tcW w:type="dxa" w:w="1584"/>
            <w:tcBorders>
              <w:top w:val="single" w:sz="6" w:color="D9D9E0"/>
              <w:left w:val="single" w:sz="6" w:color="D9D9E0"/>
              <w:bottom w:val="single" w:sz="6" w:color="D9D9E0"/>
              <w:right w:val="single" w:sz="6" w:color="D9D9E0"/>
            </w:tcBorders>
          </w:tcPr>
          <w:p>
            <w:pPr>
              <w:spacing w:before="50" w:after="50"/>
            </w:pPr>
            <w:r>
              <w:rPr>
                <w:sz w:val="16"/>
              </w:rPr>
              <w:t>If B-20 (pytest injection tests) surfaces a bypass that traces back to placeholder rewriting; or during B-22 as spec-vs-code cleanup.</w:t>
            </w:r>
          </w:p>
        </w:tc>
      </w:tr>
      <w:tr>
        <w:tc>
          <w:tcPr>
            <w:tcW w:type="dxa" w:w="2736"/>
            <w:tcBorders>
              <w:top w:val="single" w:sz="6" w:color="D9D9E0"/>
              <w:left w:val="single" w:sz="6" w:color="D9D9E0"/>
              <w:bottom w:val="single" w:sz="6" w:color="D9D9E0"/>
              <w:right w:val="single" w:sz="6" w:color="D9D9E0"/>
            </w:tcBorders>
          </w:tcPr>
          <w:p>
            <w:pPr>
              <w:spacing w:before="50" w:after="50"/>
            </w:pPr>
            <w:r>
              <w:rPr>
                <w:sz w:val="16"/>
              </w:rPr>
              <w:t>metrics.py wire-up gap — CONFIDENCE.observe() from classify + model_version population</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src/metrics.py declares Prometheus counters and histograms but src/classify.py never calls CONFIDENCE.observe(result.confidence). Similarly the decision log's model_version column is declared and never populated. FR-22 (metrics for calibration monitoring) is therefore partially unmet at present. Deferred because src/generate.py (B-11) and src/route.py (B-15) both need the same wire-up; closing them together is one context switch rather than three.</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15 minutes at B-11 or B-15 — add one CONFIDENCE.observe() call per stage, populate model_version from the OpenRouter response metadata in _openrouter_call.</w:t>
            </w:r>
          </w:p>
        </w:tc>
        <w:tc>
          <w:tcPr>
            <w:tcW w:type="dxa" w:w="1584"/>
            <w:tcBorders>
              <w:top w:val="single" w:sz="6" w:color="D9D9E0"/>
              <w:left w:val="single" w:sz="6" w:color="D9D9E0"/>
              <w:bottom w:val="single" w:sz="6" w:color="D9D9E0"/>
              <w:right w:val="single" w:sz="6" w:color="D9D9E0"/>
            </w:tcBorders>
          </w:tcPr>
          <w:p>
            <w:pPr>
              <w:spacing w:before="50" w:after="50"/>
            </w:pPr>
            <w:r>
              <w:rPr>
                <w:sz w:val="16"/>
              </w:rPr>
              <w:t>Do this AT B-11 or B-15, whichever is written first. Do not ship to B-21 (Week 2 gate) without it — FR-22 gets checked there.</w:t>
            </w:r>
          </w:p>
        </w:tc>
      </w:tr>
      <w:tr>
        <w:tc>
          <w:tcPr>
            <w:tcW w:type="dxa" w:w="2736"/>
            <w:tcBorders>
              <w:top w:val="single" w:sz="6" w:color="D9D9E0"/>
              <w:left w:val="single" w:sz="6" w:color="D9D9E0"/>
              <w:bottom w:val="single" w:sz="6" w:color="D9D9E0"/>
              <w:right w:val="single" w:sz="6" w:color="D9D9E0"/>
            </w:tcBorders>
          </w:tcPr>
          <w:p>
            <w:pPr>
              <w:spacing w:before="50" w:after="50"/>
            </w:pPr>
            <w:r>
              <w:rPr>
                <w:sz w:val="16"/>
              </w:rPr>
              <w:t>Spec-vs-code mismatches 1 &amp; 2 in PR-CLASSIFY-01 output schema</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The prompt spec says (a) missing/extra fields must fall back to unknown and (b) alternatives is capped 0-2 items. Our code accepts missing reasoning + missing alternatives with defaults, ignores extra fields, and does not enforce the length cap. This is Postel's law applied to a component we do not control — being liberal in what we accept from the LLM is the more robust design. But the spec-vs-code divergence is real and needs reconciliation.</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10 minutes total — either amend PR-CLASSIFY-01.md to mark these fields advisory (recommended), or tighten src/classify.py::_parse_response to raise on any deviation. Requires a design decision, not just code work.</w:t>
            </w:r>
          </w:p>
        </w:tc>
        <w:tc>
          <w:tcPr>
            <w:tcW w:type="dxa" w:w="1584"/>
            <w:tcBorders>
              <w:top w:val="single" w:sz="6" w:color="D9D9E0"/>
              <w:left w:val="single" w:sz="6" w:color="D9D9E0"/>
              <w:bottom w:val="single" w:sz="6" w:color="D9D9E0"/>
              <w:right w:val="single" w:sz="6" w:color="D9D9E0"/>
            </w:tcBorders>
          </w:tcPr>
          <w:p>
            <w:pPr>
              <w:spacing w:before="50" w:after="50"/>
            </w:pPr>
            <w:r>
              <w:rPr>
                <w:sz w:val="16"/>
              </w:rPr>
              <w:t>B-22 (Stage 5 formal review, Tuesday of Week 3) is the natural home — that is the compulsory revision cycle and this is a documentation revision. Deciding earlier is fine but not required.</w:t>
            </w:r>
          </w:p>
        </w:tc>
      </w:tr>
      <w:tr>
        <w:tc>
          <w:tcPr>
            <w:tcW w:type="dxa" w:w="2736"/>
            <w:tcBorders>
              <w:top w:val="single" w:sz="6" w:color="D9D9E0"/>
              <w:left w:val="single" w:sz="6" w:color="D9D9E0"/>
              <w:bottom w:val="single" w:sz="6" w:color="D9D9E0"/>
              <w:right w:val="single" w:sz="6" w:color="D9D9E0"/>
            </w:tcBorders>
          </w:tcPr>
          <w:p>
            <w:pPr>
              <w:spacing w:before="50" w:after="50"/>
            </w:pPr>
            <w:r>
              <w:rPr>
                <w:sz w:val="16"/>
              </w:rPr>
              <w:t>Determinism test scope (tests/test_classify.py::test_same_input_same_seed_same_output)</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The current test asserts that a constant-returning stub returns a constant — verifies the stub, not the system. The real A5 concern is that OpenRouter free-tier providers frequently ignore the seed parameter for llama-3.1-8b-instruct and some reject response_format={"type":"json_object"} outright. Neither is checkable without a live model call, and a live call belongs in a smoke script (not the pytest suite that runs offline).</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15 minutes at B-21 prep — rename the current test to make its scope honest, add scripts/live_classify_smoke.py that hits OpenRouter twice with the same ticket and asserts identical output plus valid JSON. Run it once before the Friday validation set run.</w:t>
            </w:r>
          </w:p>
        </w:tc>
        <w:tc>
          <w:tcPr>
            <w:tcW w:type="dxa" w:w="1584"/>
            <w:tcBorders>
              <w:top w:val="single" w:sz="6" w:color="D9D9E0"/>
              <w:left w:val="single" w:sz="6" w:color="D9D9E0"/>
              <w:bottom w:val="single" w:sz="6" w:color="D9D9E0"/>
              <w:right w:val="single" w:sz="6" w:color="D9D9E0"/>
            </w:tcBorders>
          </w:tcPr>
          <w:p>
            <w:pPr>
              <w:spacing w:before="50" w:after="50"/>
            </w:pPr>
            <w:r>
              <w:rPr>
                <w:sz w:val="16"/>
              </w:rPr>
              <w:t>Friday morning (B-21 prep). If the smoke script surfaces a seed-ignored problem, that becomes an ADR to record before submission.</w:t>
            </w:r>
          </w:p>
        </w:tc>
      </w:tr>
      <w:tr>
        <w:tc>
          <w:tcPr>
            <w:tcW w:type="dxa" w:w="2736"/>
            <w:tcBorders>
              <w:top w:val="single" w:sz="6" w:color="D9D9E0"/>
              <w:left w:val="single" w:sz="6" w:color="D9D9E0"/>
              <w:bottom w:val="single" w:sz="6" w:color="D9D9E0"/>
              <w:right w:val="single" w:sz="6" w:color="D9D9E0"/>
            </w:tcBorders>
          </w:tcPr>
          <w:p>
            <w:pPr>
              <w:spacing w:before="50" w:after="50"/>
            </w:pPr>
            <w:r>
              <w:rPr>
                <w:sz w:val="16"/>
              </w:rPr>
              <w:t>Masterclass-integration drafts are half-applied. The ADRs (D-03a, D-05a), the guardrail test contract and PR-GENERATE-01 were written to canonical locations, but FR-GUARD-01..04, the backlog amendments and the governance schema extension were never pasted into the workbooks. Found 2026-09-03 while scoping B-10.</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Scope decision, not a defect — four new guardrail FRs is real work in a week already carrying B-11 at 5h, so it is recorded as PRD Table 9 Q7 rather than resolved unilaterally. Three specific conflicts were found and were not recorded anywhere until now. (a) backlog_amendments.md amends rows BY NUMBER and the numbers are wrong: it assumes B-11=guardrails, B-15=generate.py, B-19=logging_store, while the live Stage 4 plan has B-14=guardrails, B-11=generate.py, B-15=route.py, B-19=harness. It says 'Replace DoD with:', so pasting it as written would overwrite the wrong rows. (b) FR-GUARD-04's MIN_RELEVANCE_SCORE overlaps D-02a's RETRIEVAL_THRESHOLD — same score scale, same candidate range, two separate gates, one already set at 0.25 by measurement. (c) D-03a and D-05a cite FR-GUARD-04 while the PRD does not contain it.</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~1h if done before B-10: merge the four FRs into PRD Table 4, renumber the backlog amendments against the live plan, and fold MIN_RELEVANCE_SCORE into D-02a so there is one gate backed by one sweep. Materially more after B-10 and B-11 exist, because the prompt and the generator would each have encoded an answer to 'who owns the low-retrieval-confidence case' — and they could encode different ones.</w:t>
            </w:r>
          </w:p>
        </w:tc>
        <w:tc>
          <w:tcPr>
            <w:tcW w:type="dxa" w:w="1584"/>
            <w:tcBorders>
              <w:top w:val="single" w:sz="6" w:color="D9D9E0"/>
              <w:left w:val="single" w:sz="6" w:color="D9D9E0"/>
              <w:bottom w:val="single" w:sz="6" w:color="D9D9E0"/>
              <w:right w:val="single" w:sz="6" w:color="D9D9E0"/>
            </w:tcBorders>
          </w:tcPr>
          <w:p>
            <w:pPr>
              <w:spacing w:before="50" w:after="50"/>
            </w:pPr>
            <w:r>
              <w:rPr>
                <w:sz w:val="16"/>
              </w:rPr>
              <w:t>Hard deadline before B-11 (where generate.py calls into guardrails); preferred before B-10 as discipline, which costs nothing and keeps a row of slack. Tracked as PRD Table 9 Q7. Re-estimate B-14 (currently 4h for five guardrails) in the same pass — it is on Thursday's row with the B-21 gate the next day.</w:t>
            </w:r>
          </w:p>
        </w:tc>
      </w:tr>
    </w:tbl>
    <w:p>
      <w:pPr>
        <w:spacing w:after="80"/>
      </w:pPr>
    </w:p>
    <w:p>
      <w:pPr>
        <w:spacing w:before="440" w:after="60"/>
        <w:pBdr>
          <w:bottom w:val="single" w:sz="8" w:space="6" w:color="E8660A"/>
        </w:pBdr>
      </w:pPr>
      <w:r>
        <w:rPr>
          <w:b/>
          <w:color w:val="E8660A"/>
          <w:sz w:val="34"/>
        </w:rPr>
        <w:t xml:space="preserve">5   </w:t>
      </w:r>
      <w:r>
        <w:rPr>
          <w:b/>
          <w:color w:val="1A1A2E"/>
          <w:sz w:val="34"/>
        </w:rPr>
        <w:t>Section five: the reflection</w:t>
      </w:r>
    </w:p>
    <w:p>
      <w:pPr>
        <w:spacing w:after="140"/>
      </w:pPr>
      <w:r>
        <w:rPr>
          <w:i w:val="0"/>
          <w:sz w:val="21"/>
        </w:rPr>
        <w:t>Answer these in full sentences. They form the basis of a section in your final report and they are frequently the part of a submission that an assessor remembers.</w:t>
      </w:r>
    </w:p>
    <w:tbl>
      <w:tblPr>
        <w:tblW w:type="auto" w:w="0"/>
        <w:jc w:val="center"/>
        <w:tblLayout w:type="fixed"/>
        <w:tblLook w:firstColumn="1" w:firstRow="1" w:lastColumn="0" w:lastRow="0" w:noHBand="0" w:noVBand="1" w:val="04A0"/>
      </w:tblPr>
      <w:tblGrid>
        <w:gridCol w:w="4824"/>
        <w:gridCol w:w="4824"/>
      </w:tblGrid>
      <w:tr>
        <w:tc>
          <w:tcPr>
            <w:tcW w:type="dxa" w:w="3600"/>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Question</w:t>
            </w:r>
          </w:p>
        </w:tc>
        <w:tc>
          <w:tcPr>
            <w:tcW w:type="dxa" w:w="6048"/>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Your answer</w:t>
            </w:r>
          </w:p>
        </w:tc>
      </w:tr>
      <w:tr>
        <w:tc>
          <w:tcPr>
            <w:tcW w:type="dxa" w:w="3600"/>
            <w:tcBorders>
              <w:top w:val="single" w:sz="6" w:color="D9D9E0"/>
              <w:left w:val="single" w:sz="6" w:color="D9D9E0"/>
              <w:bottom w:val="single" w:sz="6" w:color="D9D9E0"/>
              <w:right w:val="single" w:sz="6" w:color="D9D9E0"/>
            </w:tcBorders>
          </w:tcPr>
          <w:p>
            <w:pPr>
              <w:spacing w:before="50" w:after="50"/>
            </w:pPr>
            <w:r>
              <w:rPr>
                <w:sz w:val="17"/>
              </w:rPr>
              <w:t>What did you most misunderstand about the problem when you wrote version one?</w:t>
            </w:r>
          </w:p>
        </w:tc>
        <w:tc>
          <w:tcPr>
            <w:tcW w:type="dxa" w:w="6048"/>
            <w:tcBorders>
              <w:top w:val="single" w:sz="6" w:color="D9D9E0"/>
              <w:left w:val="single" w:sz="6" w:color="D9D9E0"/>
              <w:bottom w:val="single" w:sz="6" w:color="D9D9E0"/>
              <w:right w:val="single" w:sz="6" w:color="D9D9E0"/>
            </w:tcBorders>
          </w:tcPr>
          <w:p>
            <w:pPr>
              <w:spacing w:before="50" w:after="50"/>
            </w:pPr>
            <w:r>
              <w:rPr>
                <w:sz w:val="17"/>
              </w:rPr>
            </w:r>
          </w:p>
        </w:tc>
      </w:tr>
      <w:tr>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7"/>
              </w:rPr>
              <w:t>Which piece of discovery work would have caught it earlier?</w:t>
            </w:r>
          </w:p>
        </w:tc>
        <w:tc>
          <w:tcPr>
            <w:tcW w:type="dxa" w:w="6048"/>
            <w:tcBorders>
              <w:top w:val="single" w:sz="6" w:color="D9D9E0"/>
              <w:left w:val="single" w:sz="6" w:color="D9D9E0"/>
              <w:bottom w:val="single" w:sz="6" w:color="D9D9E0"/>
              <w:right w:val="single" w:sz="6" w:color="D9D9E0"/>
            </w:tcBorders>
            <w:shd w:val="clear" w:fill="F4F4F7"/>
          </w:tcPr>
          <w:p>
            <w:pPr>
              <w:spacing w:before="50" w:after="50"/>
            </w:pPr>
            <w:r>
              <w:rPr>
                <w:sz w:val="17"/>
              </w:rPr>
            </w:r>
          </w:p>
        </w:tc>
      </w:tr>
      <w:tr>
        <w:tc>
          <w:tcPr>
            <w:tcW w:type="dxa" w:w="3600"/>
            <w:tcBorders>
              <w:top w:val="single" w:sz="6" w:color="D9D9E0"/>
              <w:left w:val="single" w:sz="6" w:color="D9D9E0"/>
              <w:bottom w:val="single" w:sz="6" w:color="D9D9E0"/>
              <w:right w:val="single" w:sz="6" w:color="D9D9E0"/>
            </w:tcBorders>
          </w:tcPr>
          <w:p>
            <w:pPr>
              <w:spacing w:before="50" w:after="50"/>
            </w:pPr>
            <w:r>
              <w:rPr>
                <w:sz w:val="17"/>
              </w:rPr>
              <w:t>What would you do differently if you started this project again on Monday?</w:t>
            </w:r>
          </w:p>
        </w:tc>
        <w:tc>
          <w:tcPr>
            <w:tcW w:type="dxa" w:w="6048"/>
            <w:tcBorders>
              <w:top w:val="single" w:sz="6" w:color="D9D9E0"/>
              <w:left w:val="single" w:sz="6" w:color="D9D9E0"/>
              <w:bottom w:val="single" w:sz="6" w:color="D9D9E0"/>
              <w:right w:val="single" w:sz="6" w:color="D9D9E0"/>
            </w:tcBorders>
          </w:tcPr>
          <w:p>
            <w:pPr>
              <w:spacing w:before="50" w:after="50"/>
            </w:pPr>
            <w:r>
              <w:rPr>
                <w:sz w:val="17"/>
              </w:rPr>
            </w:r>
          </w:p>
        </w:tc>
      </w:tr>
      <w:tr>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7"/>
              </w:rPr>
              <w:t>What is still uncertain, and what would you need to resolve it?</w:t>
            </w:r>
          </w:p>
        </w:tc>
        <w:tc>
          <w:tcPr>
            <w:tcW w:type="dxa" w:w="6048"/>
            <w:tcBorders>
              <w:top w:val="single" w:sz="6" w:color="D9D9E0"/>
              <w:left w:val="single" w:sz="6" w:color="D9D9E0"/>
              <w:bottom w:val="single" w:sz="6" w:color="D9D9E0"/>
              <w:right w:val="single" w:sz="6" w:color="D9D9E0"/>
            </w:tcBorders>
            <w:shd w:val="clear" w:fill="F4F4F7"/>
          </w:tcPr>
          <w:p>
            <w:pPr>
              <w:spacing w:before="50" w:after="50"/>
            </w:pPr>
            <w:r>
              <w:rPr>
                <w:sz w:val="17"/>
              </w:rPr>
            </w:r>
          </w:p>
        </w:tc>
      </w:tr>
    </w:tbl>
    <w:p>
      <w:pPr>
        <w:spacing w:after="80"/>
      </w:pPr>
    </w:p>
    <w:sectPr w:rsidR="00FC693F" w:rsidRPr="0006063C" w:rsidSect="00034616">
      <w:footerReference w:type="default" r:id="rId10"/>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4A4A63"/>
        <w:sz w:val="15"/>
      </w:rPr>
      <w:t>Forward Deployed AI Engineering  ·  Stage Five  ·  Requirements Revision Log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93" w:lineRule="auto"/>
    </w:pPr>
    <w:rPr>
      <w:rFonts w:ascii="Calibri" w:hAnsi="Calibri"/>
      <w:color w:val="2222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