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40"/>
        <w:jc w:val="center"/>
      </w:pPr>
      <w:r>
        <w:rPr>
          <w:b/>
          <w:color w:val="E8660A"/>
          <w:sz w:val="26"/>
        </w:rPr>
        <w:t>FORWARD DEPLOYED AI ENGINEERING</w:t>
      </w:r>
    </w:p>
    <w:p>
      <w:pPr>
        <w:spacing w:after="520"/>
        <w:jc w:val="center"/>
      </w:pPr>
      <w:r>
        <w:rPr>
          <w:color w:val="4A4A63"/>
          <w:sz w:val="19"/>
        </w:rPr>
        <w:t>Capstone Project</w:t>
      </w:r>
    </w:p>
    <w:p>
      <w:pPr>
        <w:spacing w:after="120"/>
        <w:jc w:val="center"/>
      </w:pPr>
      <w:r>
        <w:rPr>
          <w:b/>
          <w:color w:val="1A1A2E"/>
          <w:sz w:val="60"/>
        </w:rPr>
        <w:t>Evaluation Framework</w:t>
      </w:r>
    </w:p>
    <w:p>
      <w:pPr>
        <w:spacing w:after="280"/>
        <w:jc w:val="center"/>
        <w:pBdr>
          <w:bottom w:val="single" w:sz="10" w:space="6" w:color="E8660A"/>
        </w:pBdr>
      </w:pPr>
      <w:r>
        <w:rPr>
          <w:color w:val="E8660A"/>
          <w:sz w:val="26"/>
        </w:rPr>
        <w:t>How you measure whether the system actually worked</w:t>
      </w:r>
    </w:p>
    <w:p>
      <w:pPr>
        <w:spacing w:after="400"/>
        <w:jc w:val="center"/>
      </w:pPr>
      <w:r>
        <w:rPr>
          <w:i/>
          <w:color w:val="4A4A63"/>
          <w:sz w:val="21"/>
        </w:rPr>
        <w:t>Every metric, how it is calculated, the target you are held to, and the mistakes</w:t>
        <w:br/>
        <w:t>that make a number look better than the system it describes.</w:t>
      </w:r>
    </w:p>
    <w:tbl>
      <w:tblPr>
        <w:tblW w:type="auto" w:w="0"/>
        <w:jc w:val="center"/>
        <w:tblLook w:firstColumn="1" w:firstRow="1" w:lastColumn="0" w:lastRow="0" w:noHBand="0" w:noVBand="1" w:val="04A0"/>
      </w:tblPr>
      <w:tblGrid>
        <w:gridCol w:w="9648"/>
      </w:tblGrid>
      <w:tr>
        <w:tc>
          <w:tcPr>
            <w:tcW w:type="dxa" w:w="6624"/>
            <w:shd w:val="clear" w:fill="1A1A2E"/>
            <w:tcBorders>
              <w:top w:val="nil"/>
              <w:left w:val="nil"/>
              <w:bottom w:val="nil"/>
              <w:right w:val="nil"/>
            </w:tcBorders>
          </w:tcPr>
          <w:p>
            <w:pPr>
              <w:jc w:val="center"/>
            </w:pPr>
            <w:r>
              <w:rPr>
                <w:b/>
                <w:color w:val="FFFFFF"/>
                <w:sz w:val="20"/>
              </w:rPr>
              <w:t>REFERENCE  ·  USE FROM WEEK TWO</w:t>
            </w:r>
          </w:p>
        </w:tc>
      </w:tr>
    </w:tbl>
    <w:p>
      <w:r>
        <w:br w:type="page"/>
      </w:r>
    </w:p>
    <w:p>
      <w:pPr>
        <w:spacing w:before="440" w:after="60"/>
        <w:pBdr>
          <w:bottom w:val="single" w:sz="8" w:space="6" w:color="E8660A"/>
        </w:pBdr>
      </w:pPr>
      <w:r>
        <w:rPr>
          <w:b/>
          <w:color w:val="1A1A2E"/>
          <w:sz w:val="34"/>
        </w:rPr>
        <w:t>The principle behind all of this</w:t>
      </w:r>
    </w:p>
    <w:p>
      <w:pPr>
        <w:spacing w:after="140"/>
      </w:pPr>
      <w:r>
        <w:rPr>
          <w:i w:val="0"/>
          <w:sz w:val="21"/>
        </w:rPr>
        <w:t>There is a great deal of published work on how to evaluate language models on mathematics, reasoning and coding. There is very little on how to evaluate whether a support automation system improved a support function. That gap is where you are working, and it means you cannot simply reach for a standard benchmark and report the number it produces.</w:t>
      </w:r>
    </w:p>
    <w:p>
      <w:pPr>
        <w:spacing w:after="140"/>
      </w:pPr>
      <w:r>
        <w:rPr>
          <w:i w:val="0"/>
          <w:sz w:val="21"/>
        </w:rPr>
        <w:t>What you can do is measure three separate things and hold them in the right relationship to one another. Technical performance tells you whether the components work. Business outcomes tell you whether the client's situation improved. Governance conditions tell you whether the system is fit to be trusted at all. The third overrides the other two, and the second is what the client is paying for.</w:t>
      </w:r>
    </w:p>
    <w:p>
      <w:pPr>
        <w:spacing w:before="200" w:after="60"/>
        <w:jc w:val="center"/>
      </w:pPr>
      <w:r>
        <w:drawing>
          <wp:inline xmlns:a="http://schemas.openxmlformats.org/drawingml/2006/main" xmlns:pic="http://schemas.openxmlformats.org/drawingml/2006/picture">
            <wp:extent cx="5120640" cy="2995305"/>
            <wp:docPr id="1" name="Picture 1"/>
            <wp:cNvGraphicFramePr>
              <a:graphicFrameLocks noChangeAspect="1"/>
            </wp:cNvGraphicFramePr>
            <a:graphic>
              <a:graphicData uri="http://schemas.openxmlformats.org/drawingml/2006/picture">
                <pic:pic>
                  <pic:nvPicPr>
                    <pic:cNvPr id="0" name="eval_pyramid.png"/>
                    <pic:cNvPicPr/>
                  </pic:nvPicPr>
                  <pic:blipFill>
                    <a:blip r:embed="rId9"/>
                    <a:stretch>
                      <a:fillRect/>
                    </a:stretch>
                  </pic:blipFill>
                  <pic:spPr>
                    <a:xfrm>
                      <a:off x="0" y="0"/>
                      <a:ext cx="5120640" cy="2995305"/>
                    </a:xfrm>
                    <a:prstGeom prst="rect"/>
                  </pic:spPr>
                </pic:pic>
              </a:graphicData>
            </a:graphic>
          </wp:inline>
        </w:drawing>
      </w:r>
    </w:p>
    <w:p>
      <w:pPr>
        <w:spacing w:after="240"/>
        <w:jc w:val="center"/>
      </w:pPr>
      <w:r>
        <w:rPr>
          <w:i/>
          <w:color w:val="4A4A63"/>
          <w:sz w:val="17"/>
        </w:rPr>
        <w:t>Figure 1. The three tiers and their relationship.</w:t>
      </w:r>
    </w:p>
    <w:tbl>
      <w:tblPr>
        <w:tblW w:type="auto" w:w="0"/>
        <w:tblLook w:firstColumn="1" w:firstRow="1" w:lastColumn="0" w:lastRow="0" w:noHBand="0" w:noVBand="1" w:val="04A0"/>
      </w:tblPr>
      <w:tblGrid>
        <w:gridCol w:w="9648"/>
      </w:tblGrid>
      <w:tr>
        <w:tc>
          <w:tcPr>
            <w:tcW w:type="dxa" w:w="9648"/>
            <w:shd w:val="clear" w:fill="FDEDE1"/>
            <w:tcBorders>
              <w:top w:val="nil"/>
              <w:left w:val="nil"/>
              <w:bottom w:val="nil"/>
              <w:right w:val="nil"/>
            </w:tcBorders>
          </w:tcPr>
          <w:p>
            <w:pPr>
              <w:spacing w:before="140" w:after="60"/>
            </w:pPr>
            <w:r>
              <w:rPr>
                <w:b/>
                <w:color w:val="E8660A"/>
                <w:sz w:val="21"/>
              </w:rPr>
              <w:t>The most common error in this section</w:t>
            </w:r>
          </w:p>
          <w:p>
            <w:pPr>
              <w:spacing w:after="160"/>
            </w:pPr>
            <w:r>
              <w:rPr>
                <w:color w:val="333344"/>
                <w:sz w:val="20"/>
              </w:rPr>
              <w:t>Reporting a strong technical figure and treating the evaluation as complete. Classification precision of eighty-nine per cent is not an outcome. It is an input to an outcome, and the client cannot act on it. Always carry your technical numbers through to what they mean for resolution rate, waiting time and satisfaction.</w:t>
            </w:r>
          </w:p>
        </w:tc>
      </w:tr>
    </w:tbl>
    <w:p>
      <w:pPr>
        <w:spacing w:after="40"/>
      </w:pPr>
    </w:p>
    <w:p>
      <w:r>
        <w:br w:type="page"/>
      </w:r>
    </w:p>
    <w:p>
      <w:pPr>
        <w:spacing w:before="440" w:after="60"/>
        <w:pBdr>
          <w:bottom w:val="single" w:sz="8" w:space="6" w:color="E8660A"/>
        </w:pBdr>
      </w:pPr>
      <w:r>
        <w:rPr>
          <w:b/>
          <w:color w:val="E8660A"/>
          <w:sz w:val="34"/>
        </w:rPr>
        <w:t xml:space="preserve">1   </w:t>
      </w:r>
      <w:r>
        <w:rPr>
          <w:b/>
          <w:color w:val="1A1A2E"/>
          <w:sz w:val="34"/>
        </w:rPr>
        <w:t>Tier one: business outcomes</w:t>
      </w:r>
    </w:p>
    <w:p>
      <w:pPr>
        <w:spacing w:after="140"/>
      </w:pPr>
      <w:r>
        <w:rPr>
          <w:i w:val="0"/>
          <w:sz w:val="21"/>
        </w:rPr>
        <w:t>These are the measures CloudServe already watch. Improving them is the reason the project exists, so they lead your reporting rather than trailing it.</w:t>
      </w:r>
    </w:p>
    <w:p>
      <w:pPr>
        <w:spacing w:before="300" w:after="60"/>
      </w:pPr>
      <w:r>
        <w:rPr>
          <w:b/>
          <w:color w:val="1A1A2E"/>
          <w:sz w:val="25"/>
        </w:rPr>
        <w:t>First contact resolution</w:t>
      </w:r>
    </w:p>
    <w:p>
      <w:pPr>
        <w:spacing w:after="140"/>
      </w:pPr>
      <w:r>
        <w:rPr>
          <w:i w:val="0"/>
          <w:sz w:val="21"/>
        </w:rPr>
        <w:t>The proportion of tickets closed without ever being passed to a human. This is the headline figure and the one most directly tied to CloudServe's cost base.</w:t>
      </w:r>
    </w:p>
    <w:tbl>
      <w:tblPr>
        <w:tblW w:type="auto" w:w="0"/>
        <w:tblLook w:firstColumn="1" w:firstRow="1" w:lastColumn="0" w:lastRow="0" w:noHBand="0" w:noVBand="1" w:val="04A0"/>
      </w:tblPr>
      <w:tblGrid>
        <w:gridCol w:w="9648"/>
      </w:tblGrid>
      <w:tr>
        <w:tc>
          <w:tcPr>
            <w:tcW w:type="dxa" w:w="9648"/>
            <w:shd w:val="clear" w:fill="F2F2F6"/>
            <w:tcBorders>
              <w:top w:val="nil"/>
              <w:left w:val="nil"/>
              <w:bottom w:val="nil"/>
              <w:right w:val="nil"/>
            </w:tcBorders>
          </w:tcPr>
          <w:p>
            <w:pPr>
              <w:spacing w:after="0" w:before="20" w:line="240" w:lineRule="auto"/>
            </w:pPr>
            <w:r>
              <w:rPr>
                <w:rFonts w:ascii="Consolas" w:hAnsi="Consolas"/>
                <w:color w:val="1A1A2E"/>
                <w:sz w:val="17"/>
              </w:rPr>
              <w:t>def first_contact_resolution(results):</w:t>
            </w:r>
          </w:p>
          <w:p>
            <w:pPr>
              <w:spacing w:after="0" w:before="20" w:line="240" w:lineRule="auto"/>
            </w:pPr>
            <w:r>
              <w:rPr>
                <w:rFonts w:ascii="Consolas" w:hAnsi="Consolas"/>
                <w:color w:val="1A1A2E"/>
                <w:sz w:val="17"/>
              </w:rPr>
              <w:t xml:space="preserve">    """Share of tickets closed with no human involvement."""</w:t>
            </w:r>
          </w:p>
          <w:p>
            <w:pPr>
              <w:spacing w:after="0" w:before="20" w:line="240" w:lineRule="auto"/>
            </w:pPr>
            <w:r>
              <w:rPr>
                <w:rFonts w:ascii="Consolas" w:hAnsi="Consolas"/>
                <w:color w:val="1A1A2E"/>
                <w:sz w:val="17"/>
              </w:rPr>
              <w:t xml:space="preserve">    resolved = sum(1 for r in results if r.closed and not r.escalated)</w:t>
            </w:r>
          </w:p>
          <w:p>
            <w:pPr>
              <w:spacing w:after="0" w:before="20" w:line="240" w:lineRule="auto"/>
            </w:pPr>
            <w:r>
              <w:rPr>
                <w:rFonts w:ascii="Consolas" w:hAnsi="Consolas"/>
                <w:color w:val="1A1A2E"/>
                <w:sz w:val="17"/>
              </w:rPr>
              <w:t xml:space="preserve">    return 100.0 * resolved / len(results)</w:t>
            </w:r>
          </w:p>
        </w:tc>
      </w:tr>
    </w:tbl>
    <w:p>
      <w:pPr>
        <w:spacing w:after="80"/>
      </w:pPr>
    </w:p>
    <w:p>
      <w:pPr>
        <w:spacing w:after="140"/>
      </w:pPr>
      <w:r>
        <w:rPr>
          <w:i w:val="0"/>
          <w:color w:val="4A4A63"/>
          <w:sz w:val="19"/>
        </w:rPr>
        <w:t>Baseline 42 per cent. Target 60 per cent or better. Report it alongside the escalation rate, because the two together describe what actually happened to the queue.</w:t>
      </w:r>
    </w:p>
    <w:p>
      <w:pPr>
        <w:spacing w:before="300" w:after="60"/>
      </w:pPr>
      <w:r>
        <w:rPr>
          <w:b/>
          <w:color w:val="1A1A2E"/>
          <w:sz w:val="25"/>
        </w:rPr>
        <w:t>Time to first reply</w:t>
      </w:r>
    </w:p>
    <w:p>
      <w:pPr>
        <w:spacing w:after="140"/>
      </w:pPr>
      <w:r>
        <w:rPr>
          <w:i w:val="0"/>
          <w:sz w:val="21"/>
        </w:rPr>
        <w:t>The interval between a ticket arriving and the customer receiving a substantive response. Report the median as well as the mean, because a small number of very slow cases will drag the mean in a way that misrepresents the typical experience.</w:t>
      </w:r>
    </w:p>
    <w:tbl>
      <w:tblPr>
        <w:tblW w:type="auto" w:w="0"/>
        <w:tblLook w:firstColumn="1" w:firstRow="1" w:lastColumn="0" w:lastRow="0" w:noHBand="0" w:noVBand="1" w:val="04A0"/>
      </w:tblPr>
      <w:tblGrid>
        <w:gridCol w:w="9648"/>
      </w:tblGrid>
      <w:tr>
        <w:tc>
          <w:tcPr>
            <w:tcW w:type="dxa" w:w="9648"/>
            <w:shd w:val="clear" w:fill="F2F2F6"/>
            <w:tcBorders>
              <w:top w:val="nil"/>
              <w:left w:val="nil"/>
              <w:bottom w:val="nil"/>
              <w:right w:val="nil"/>
            </w:tcBorders>
          </w:tcPr>
          <w:p>
            <w:pPr>
              <w:spacing w:after="0" w:before="20" w:line="240" w:lineRule="auto"/>
            </w:pPr>
            <w:r>
              <w:rPr>
                <w:rFonts w:ascii="Consolas" w:hAnsi="Consolas"/>
                <w:color w:val="1A1A2E"/>
                <w:sz w:val="17"/>
              </w:rPr>
              <w:t>import statistics</w:t>
            </w:r>
          </w:p>
          <w:p>
            <w:pPr>
              <w:spacing w:after="0" w:before="20" w:line="240" w:lineRule="auto"/>
            </w:pPr>
            <w:r>
              <w:rPr>
                <w:rFonts w:ascii="Consolas" w:hAnsi="Consolas"/>
                <w:color w:val="1A1A2E"/>
                <w:sz w:val="17"/>
              </w:rPr>
            </w:r>
          </w:p>
          <w:p>
            <w:pPr>
              <w:spacing w:after="0" w:before="20" w:line="240" w:lineRule="auto"/>
            </w:pPr>
            <w:r>
              <w:rPr>
                <w:rFonts w:ascii="Consolas" w:hAnsi="Consolas"/>
                <w:color w:val="1A1A2E"/>
                <w:sz w:val="17"/>
              </w:rPr>
              <w:t>def reply_times(results):</w:t>
            </w:r>
          </w:p>
          <w:p>
            <w:pPr>
              <w:spacing w:after="0" w:before="20" w:line="240" w:lineRule="auto"/>
            </w:pPr>
            <w:r>
              <w:rPr>
                <w:rFonts w:ascii="Consolas" w:hAnsi="Consolas"/>
                <w:color w:val="1A1A2E"/>
                <w:sz w:val="17"/>
              </w:rPr>
              <w:t xml:space="preserve">    seconds = [r.replied_at - r.received_at for r in results]</w:t>
            </w:r>
          </w:p>
          <w:p>
            <w:pPr>
              <w:spacing w:after="0" w:before="20" w:line="240" w:lineRule="auto"/>
            </w:pPr>
            <w:r>
              <w:rPr>
                <w:rFonts w:ascii="Consolas" w:hAnsi="Consolas"/>
                <w:color w:val="1A1A2E"/>
                <w:sz w:val="17"/>
              </w:rPr>
              <w:t xml:space="preserve">    return {</w:t>
            </w:r>
          </w:p>
          <w:p>
            <w:pPr>
              <w:spacing w:after="0" w:before="20" w:line="240" w:lineRule="auto"/>
            </w:pPr>
            <w:r>
              <w:rPr>
                <w:rFonts w:ascii="Consolas" w:hAnsi="Consolas"/>
                <w:color w:val="1A1A2E"/>
                <w:sz w:val="17"/>
              </w:rPr>
              <w:t xml:space="preserve">        "mean_minutes": statistics.mean(seconds) / 60,</w:t>
            </w:r>
          </w:p>
          <w:p>
            <w:pPr>
              <w:spacing w:after="0" w:before="20" w:line="240" w:lineRule="auto"/>
            </w:pPr>
            <w:r>
              <w:rPr>
                <w:rFonts w:ascii="Consolas" w:hAnsi="Consolas"/>
                <w:color w:val="1A1A2E"/>
                <w:sz w:val="17"/>
              </w:rPr>
              <w:t xml:space="preserve">        "median_minutes": statistics.median(seconds) / 60,</w:t>
            </w:r>
          </w:p>
          <w:p>
            <w:pPr>
              <w:spacing w:after="0" w:before="20" w:line="240" w:lineRule="auto"/>
            </w:pPr>
            <w:r>
              <w:rPr>
                <w:rFonts w:ascii="Consolas" w:hAnsi="Consolas"/>
                <w:color w:val="1A1A2E"/>
                <w:sz w:val="17"/>
              </w:rPr>
              <w:t xml:space="preserve">        "p95_minutes": statistics.quantiles(seconds, n=20)[18] / 60,</w:t>
            </w:r>
          </w:p>
          <w:p>
            <w:pPr>
              <w:spacing w:after="0" w:before="20" w:line="240" w:lineRule="auto"/>
            </w:pPr>
            <w:r>
              <w:rPr>
                <w:rFonts w:ascii="Consolas" w:hAnsi="Consolas"/>
                <w:color w:val="1A1A2E"/>
                <w:sz w:val="17"/>
              </w:rPr>
              <w:t xml:space="preserve">    }</w:t>
            </w:r>
          </w:p>
        </w:tc>
      </w:tr>
    </w:tbl>
    <w:p>
      <w:pPr>
        <w:spacing w:after="80"/>
      </w:pPr>
    </w:p>
    <w:p>
      <w:pPr>
        <w:spacing w:before="300" w:after="60"/>
      </w:pPr>
      <w:r>
        <w:rPr>
          <w:b/>
          <w:color w:val="1A1A2E"/>
          <w:sz w:val="25"/>
        </w:rPr>
        <w:t>Customer satisfaction</w:t>
      </w:r>
    </w:p>
    <w:p>
      <w:pPr>
        <w:spacing w:after="140"/>
      </w:pPr>
      <w:r>
        <w:rPr>
          <w:i w:val="0"/>
          <w:sz w:val="21"/>
        </w:rPr>
        <w:t>You do not have live customers, so you cannot collect real satisfaction data. What you can do is have humans review a sample of responses against a rubric and score them, and then be honest in your report about the limits of that proxy. State your sample size, your rubric and who did the scoring.</w:t>
      </w:r>
    </w:p>
    <w:p>
      <w:pPr>
        <w:spacing w:before="300" w:after="60"/>
      </w:pPr>
      <w:r>
        <w:rPr>
          <w:b/>
          <w:color w:val="1A1A2E"/>
          <w:sz w:val="25"/>
        </w:rPr>
        <w:t>Escalation rate and repeat contacts</w:t>
      </w:r>
    </w:p>
    <w:p>
      <w:pPr>
        <w:spacing w:after="140"/>
      </w:pPr>
      <w:r>
        <w:rPr>
          <w:i w:val="0"/>
          <w:sz w:val="21"/>
        </w:rPr>
        <w:t>Escalation rate is the mirror of first contact resolution and should be reported with it. Repeat contacts, meaning the same customer raising the same issue again within a week, is the measure that catches a system which closes tickets without actually solving anything.</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592"/>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Measure</w:t>
            </w:r>
          </w:p>
        </w:tc>
        <w:tc>
          <w:tcPr>
            <w:tcW w:type="dxa" w:w="1728"/>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Baseline</w:t>
            </w:r>
          </w:p>
        </w:tc>
        <w:tc>
          <w:tcPr>
            <w:tcW w:type="dxa" w:w="1872"/>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Target</w:t>
            </w:r>
          </w:p>
        </w:tc>
        <w:tc>
          <w:tcPr>
            <w:tcW w:type="dxa" w:w="3456"/>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Notes</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First contact resolution</w:t>
            </w:r>
          </w:p>
        </w:tc>
        <w:tc>
          <w:tcPr>
            <w:tcW w:type="dxa" w:w="1728"/>
            <w:tcBorders>
              <w:top w:val="single" w:sz="6" w:color="D9D9E0"/>
              <w:left w:val="single" w:sz="6" w:color="D9D9E0"/>
              <w:bottom w:val="single" w:sz="6" w:color="D9D9E0"/>
              <w:right w:val="single" w:sz="6" w:color="D9D9E0"/>
            </w:tcBorders>
          </w:tcPr>
          <w:p>
            <w:pPr>
              <w:spacing w:before="50" w:after="50"/>
            </w:pPr>
            <w:r>
              <w:rPr>
                <w:sz w:val="17"/>
              </w:rPr>
              <w:t>42%</w:t>
            </w:r>
          </w:p>
        </w:tc>
        <w:tc>
          <w:tcPr>
            <w:tcW w:type="dxa" w:w="1872"/>
            <w:tcBorders>
              <w:top w:val="single" w:sz="6" w:color="D9D9E0"/>
              <w:left w:val="single" w:sz="6" w:color="D9D9E0"/>
              <w:bottom w:val="single" w:sz="6" w:color="D9D9E0"/>
              <w:right w:val="single" w:sz="6" w:color="D9D9E0"/>
            </w:tcBorders>
          </w:tcPr>
          <w:p>
            <w:pPr>
              <w:spacing w:before="50" w:after="50"/>
            </w:pPr>
            <w:r>
              <w:rPr>
                <w:sz w:val="17"/>
              </w:rPr>
              <w:t>60% or better</w:t>
            </w:r>
          </w:p>
        </w:tc>
        <w:tc>
          <w:tcPr>
            <w:tcW w:type="dxa" w:w="3456"/>
            <w:tcBorders>
              <w:top w:val="single" w:sz="6" w:color="D9D9E0"/>
              <w:left w:val="single" w:sz="6" w:color="D9D9E0"/>
              <w:bottom w:val="single" w:sz="6" w:color="D9D9E0"/>
              <w:right w:val="single" w:sz="6" w:color="D9D9E0"/>
            </w:tcBorders>
          </w:tcPr>
          <w:p>
            <w:pPr>
              <w:spacing w:before="50" w:after="50"/>
            </w:pPr>
            <w:r>
              <w:rPr>
                <w:sz w:val="17"/>
              </w:rPr>
              <w:t>The headline figure.</w:t>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Mean time to first reply</w:t>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7"/>
              </w:rPr>
              <w:t>8 to 12 hours</w:t>
            </w:r>
          </w:p>
        </w:tc>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7"/>
              </w:rPr>
              <w:t>Under 5 minutes</w:t>
            </w:r>
          </w:p>
        </w:tc>
        <w:tc>
          <w:tcPr>
            <w:tcW w:type="dxa" w:w="3456"/>
            <w:tcBorders>
              <w:top w:val="single" w:sz="6" w:color="D9D9E0"/>
              <w:left w:val="single" w:sz="6" w:color="D9D9E0"/>
              <w:bottom w:val="single" w:sz="6" w:color="D9D9E0"/>
              <w:right w:val="single" w:sz="6" w:color="D9D9E0"/>
            </w:tcBorders>
            <w:shd w:val="clear" w:fill="F4F4F7"/>
          </w:tcPr>
          <w:p>
            <w:pPr>
              <w:spacing w:before="50" w:after="50"/>
            </w:pPr>
            <w:r>
              <w:rPr>
                <w:sz w:val="17"/>
              </w:rPr>
              <w:t>Report median too.</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Customer satisfaction</w:t>
            </w:r>
          </w:p>
        </w:tc>
        <w:tc>
          <w:tcPr>
            <w:tcW w:type="dxa" w:w="1728"/>
            <w:tcBorders>
              <w:top w:val="single" w:sz="6" w:color="D9D9E0"/>
              <w:left w:val="single" w:sz="6" w:color="D9D9E0"/>
              <w:bottom w:val="single" w:sz="6" w:color="D9D9E0"/>
              <w:right w:val="single" w:sz="6" w:color="D9D9E0"/>
            </w:tcBorders>
          </w:tcPr>
          <w:p>
            <w:pPr>
              <w:spacing w:before="50" w:after="50"/>
            </w:pPr>
            <w:r>
              <w:rPr>
                <w:sz w:val="17"/>
              </w:rPr>
              <w:t>3.2 / 5</w:t>
            </w:r>
          </w:p>
        </w:tc>
        <w:tc>
          <w:tcPr>
            <w:tcW w:type="dxa" w:w="1872"/>
            <w:tcBorders>
              <w:top w:val="single" w:sz="6" w:color="D9D9E0"/>
              <w:left w:val="single" w:sz="6" w:color="D9D9E0"/>
              <w:bottom w:val="single" w:sz="6" w:color="D9D9E0"/>
              <w:right w:val="single" w:sz="6" w:color="D9D9E0"/>
            </w:tcBorders>
          </w:tcPr>
          <w:p>
            <w:pPr>
              <w:spacing w:before="50" w:after="50"/>
            </w:pPr>
            <w:r>
              <w:rPr>
                <w:sz w:val="17"/>
              </w:rPr>
              <w:t>4.0 or better</w:t>
            </w:r>
          </w:p>
        </w:tc>
        <w:tc>
          <w:tcPr>
            <w:tcW w:type="dxa" w:w="3456"/>
            <w:tcBorders>
              <w:top w:val="single" w:sz="6" w:color="D9D9E0"/>
              <w:left w:val="single" w:sz="6" w:color="D9D9E0"/>
              <w:bottom w:val="single" w:sz="6" w:color="D9D9E0"/>
              <w:right w:val="single" w:sz="6" w:color="D9D9E0"/>
            </w:tcBorders>
          </w:tcPr>
          <w:p>
            <w:pPr>
              <w:spacing w:before="50" w:after="50"/>
            </w:pPr>
            <w:r>
              <w:rPr>
                <w:sz w:val="17"/>
              </w:rPr>
              <w:t>Proxy measure; state your method.</w:t>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Escalation rate</w:t>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7"/>
              </w:rPr>
              <w:t>58%</w:t>
            </w:r>
          </w:p>
        </w:tc>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7"/>
              </w:rPr>
              <w:t>30% or lower</w:t>
            </w:r>
          </w:p>
        </w:tc>
        <w:tc>
          <w:tcPr>
            <w:tcW w:type="dxa" w:w="3456"/>
            <w:tcBorders>
              <w:top w:val="single" w:sz="6" w:color="D9D9E0"/>
              <w:left w:val="single" w:sz="6" w:color="D9D9E0"/>
              <w:bottom w:val="single" w:sz="6" w:color="D9D9E0"/>
              <w:right w:val="single" w:sz="6" w:color="D9D9E0"/>
            </w:tcBorders>
            <w:shd w:val="clear" w:fill="F4F4F7"/>
          </w:tcPr>
          <w:p>
            <w:pPr>
              <w:spacing w:before="50" w:after="50"/>
            </w:pPr>
            <w:r>
              <w:rPr>
                <w:sz w:val="17"/>
              </w:rPr>
              <w:t>Report with resolution rate.</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Repeat contacts</w:t>
            </w:r>
          </w:p>
        </w:tc>
        <w:tc>
          <w:tcPr>
            <w:tcW w:type="dxa" w:w="1728"/>
            <w:tcBorders>
              <w:top w:val="single" w:sz="6" w:color="D9D9E0"/>
              <w:left w:val="single" w:sz="6" w:color="D9D9E0"/>
              <w:bottom w:val="single" w:sz="6" w:color="D9D9E0"/>
              <w:right w:val="single" w:sz="6" w:color="D9D9E0"/>
            </w:tcBorders>
          </w:tcPr>
          <w:p>
            <w:pPr>
              <w:spacing w:before="50" w:after="50"/>
            </w:pPr>
            <w:r>
              <w:rPr>
                <w:sz w:val="17"/>
              </w:rPr>
              <w:t>Not measured</w:t>
            </w:r>
          </w:p>
        </w:tc>
        <w:tc>
          <w:tcPr>
            <w:tcW w:type="dxa" w:w="1872"/>
            <w:tcBorders>
              <w:top w:val="single" w:sz="6" w:color="D9D9E0"/>
              <w:left w:val="single" w:sz="6" w:color="D9D9E0"/>
              <w:bottom w:val="single" w:sz="6" w:color="D9D9E0"/>
              <w:right w:val="single" w:sz="6" w:color="D9D9E0"/>
            </w:tcBorders>
          </w:tcPr>
          <w:p>
            <w:pPr>
              <w:spacing w:before="50" w:after="50"/>
            </w:pPr>
            <w:r>
              <w:rPr>
                <w:sz w:val="17"/>
              </w:rPr>
              <w:t>Halved</w:t>
            </w:r>
          </w:p>
        </w:tc>
        <w:tc>
          <w:tcPr>
            <w:tcW w:type="dxa" w:w="3456"/>
            <w:tcBorders>
              <w:top w:val="single" w:sz="6" w:color="D9D9E0"/>
              <w:left w:val="single" w:sz="6" w:color="D9D9E0"/>
              <w:bottom w:val="single" w:sz="6" w:color="D9D9E0"/>
              <w:right w:val="single" w:sz="6" w:color="D9D9E0"/>
            </w:tcBorders>
          </w:tcPr>
          <w:p>
            <w:pPr>
              <w:spacing w:before="50" w:after="50"/>
            </w:pPr>
            <w:r>
              <w:rPr>
                <w:sz w:val="17"/>
              </w:rPr>
              <w:t>Catches false resolutions.</w:t>
            </w:r>
          </w:p>
        </w:tc>
      </w:tr>
    </w:tbl>
    <w:p>
      <w:pPr>
        <w:spacing w:after="80"/>
      </w:pPr>
    </w:p>
    <w:p>
      <w:r>
        <w:br w:type="page"/>
      </w:r>
    </w:p>
    <w:p>
      <w:pPr>
        <w:spacing w:before="440" w:after="60"/>
        <w:pBdr>
          <w:bottom w:val="single" w:sz="8" w:space="6" w:color="E8660A"/>
        </w:pBdr>
      </w:pPr>
      <w:r>
        <w:rPr>
          <w:b/>
          <w:color w:val="E8660A"/>
          <w:sz w:val="34"/>
        </w:rPr>
        <w:t xml:space="preserve">2   </w:t>
      </w:r>
      <w:r>
        <w:rPr>
          <w:b/>
          <w:color w:val="1A1A2E"/>
          <w:sz w:val="34"/>
        </w:rPr>
        <w:t>Tier two: technical performance</w:t>
      </w:r>
    </w:p>
    <w:p>
      <w:pPr>
        <w:spacing w:after="140"/>
      </w:pPr>
      <w:r>
        <w:rPr>
          <w:i w:val="0"/>
          <w:sz w:val="21"/>
        </w:rPr>
        <w:t>These tell you whether the components are working. They are necessary and they are never sufficient on their own.</w:t>
      </w:r>
    </w:p>
    <w:p>
      <w:pPr>
        <w:spacing w:before="300" w:after="60"/>
      </w:pPr>
      <w:r>
        <w:rPr>
          <w:b/>
          <w:color w:val="1A1A2E"/>
          <w:sz w:val="25"/>
        </w:rPr>
        <w:t>Intent classification precision and recall</w:t>
      </w:r>
    </w:p>
    <w:p>
      <w:pPr>
        <w:spacing w:after="140"/>
      </w:pPr>
      <w:r>
        <w:rPr>
          <w:i w:val="0"/>
          <w:sz w:val="21"/>
        </w:rPr>
        <w:t>Report both, per class, and include the confusion matrix in your appendix. An overall accuracy figure hides the fact that your system may be excellent on the two most common intents and useless on the rest.</w:t>
      </w:r>
    </w:p>
    <w:tbl>
      <w:tblPr>
        <w:tblW w:type="auto" w:w="0"/>
        <w:tblLook w:firstColumn="1" w:firstRow="1" w:lastColumn="0" w:lastRow="0" w:noHBand="0" w:noVBand="1" w:val="04A0"/>
      </w:tblPr>
      <w:tblGrid>
        <w:gridCol w:w="9648"/>
      </w:tblGrid>
      <w:tr>
        <w:tc>
          <w:tcPr>
            <w:tcW w:type="dxa" w:w="9648"/>
            <w:shd w:val="clear" w:fill="F2F2F6"/>
            <w:tcBorders>
              <w:top w:val="nil"/>
              <w:left w:val="nil"/>
              <w:bottom w:val="nil"/>
              <w:right w:val="nil"/>
            </w:tcBorders>
          </w:tcPr>
          <w:p>
            <w:pPr>
              <w:spacing w:after="0" w:before="20" w:line="240" w:lineRule="auto"/>
            </w:pPr>
            <w:r>
              <w:rPr>
                <w:rFonts w:ascii="Consolas" w:hAnsi="Consolas"/>
                <w:color w:val="1A1A2E"/>
                <w:sz w:val="17"/>
              </w:rPr>
              <w:t>from sklearn.metrics import classification_report, confusion_matrix</w:t>
            </w:r>
          </w:p>
          <w:p>
            <w:pPr>
              <w:spacing w:after="0" w:before="20" w:line="240" w:lineRule="auto"/>
            </w:pPr>
            <w:r>
              <w:rPr>
                <w:rFonts w:ascii="Consolas" w:hAnsi="Consolas"/>
                <w:color w:val="1A1A2E"/>
                <w:sz w:val="17"/>
              </w:rPr>
            </w:r>
          </w:p>
          <w:p>
            <w:pPr>
              <w:spacing w:after="0" w:before="20" w:line="240" w:lineRule="auto"/>
            </w:pPr>
            <w:r>
              <w:rPr>
                <w:rFonts w:ascii="Consolas" w:hAnsi="Consolas"/>
                <w:color w:val="1A1A2E"/>
                <w:sz w:val="17"/>
              </w:rPr>
              <w:t>print(classification_report(y_true, y_pred, digits=3))</w:t>
            </w:r>
          </w:p>
          <w:p>
            <w:pPr>
              <w:spacing w:after="0" w:before="20" w:line="240" w:lineRule="auto"/>
            </w:pPr>
            <w:r>
              <w:rPr>
                <w:rFonts w:ascii="Consolas" w:hAnsi="Consolas"/>
                <w:color w:val="1A1A2E"/>
                <w:sz w:val="17"/>
              </w:rPr>
              <w:t>print(confusion_matrix(y_true, y_pred))</w:t>
            </w:r>
          </w:p>
        </w:tc>
      </w:tr>
    </w:tbl>
    <w:p>
      <w:pPr>
        <w:spacing w:after="80"/>
      </w:pPr>
    </w:p>
    <w:p>
      <w:pPr>
        <w:spacing w:before="300" w:after="60"/>
      </w:pPr>
      <w:r>
        <w:rPr>
          <w:b/>
          <w:color w:val="1A1A2E"/>
          <w:sz w:val="25"/>
        </w:rPr>
        <w:t>Hallucination rate</w:t>
      </w:r>
    </w:p>
    <w:p>
      <w:pPr>
        <w:spacing w:after="140"/>
      </w:pPr>
      <w:r>
        <w:rPr>
          <w:i w:val="0"/>
          <w:sz w:val="21"/>
        </w:rPr>
        <w:t>The proportion of generated responses containing at least one claim not supported by the retrieved sources. This is the measure that most directly predicts whether your system will embarrass the client, and it requires human judgement to establish properly. Sample at least fifty responses, have two people assess them independently, and report your agreement rate.</w:t>
      </w:r>
    </w:p>
    <w:p>
      <w:pPr>
        <w:spacing w:before="300" w:after="60"/>
      </w:pPr>
      <w:r>
        <w:rPr>
          <w:b/>
          <w:color w:val="1A1A2E"/>
          <w:sz w:val="25"/>
        </w:rPr>
        <w:t>Citation accuracy</w:t>
      </w:r>
    </w:p>
    <w:p>
      <w:pPr>
        <w:spacing w:after="140"/>
      </w:pPr>
      <w:r>
        <w:rPr>
          <w:i w:val="0"/>
          <w:sz w:val="21"/>
        </w:rPr>
        <w:t>For every citation your system produces, does the cited passage actually support the sentence it is attached to? A citation that does not support its claim is worse than no citation, because it manufactures confidence that is not warranted.</w:t>
      </w:r>
    </w:p>
    <w:p>
      <w:pPr>
        <w:spacing w:before="300" w:after="60"/>
      </w:pPr>
      <w:r>
        <w:rPr>
          <w:b/>
          <w:color w:val="1A1A2E"/>
          <w:sz w:val="25"/>
        </w:rPr>
        <w:t>Latency and availability</w:t>
      </w:r>
    </w:p>
    <w:p>
      <w:pPr>
        <w:spacing w:after="140"/>
      </w:pPr>
      <w:r>
        <w:rPr>
          <w:i w:val="0"/>
          <w:sz w:val="21"/>
        </w:rPr>
        <w:t>Report the ninety-fifth percentile rather than the mean. Customers on live chat experience your slowest responses, not your average one.</w:t>
      </w:r>
    </w:p>
    <w:tbl>
      <w:tblPr>
        <w:tblW w:type="auto" w:w="0"/>
        <w:tblLook w:firstColumn="1" w:firstRow="1" w:lastColumn="0" w:lastRow="0" w:noHBand="0" w:noVBand="1" w:val="04A0"/>
      </w:tblPr>
      <w:tblGrid>
        <w:gridCol w:w="9648"/>
      </w:tblGrid>
      <w:tr>
        <w:tc>
          <w:tcPr>
            <w:tcW w:type="dxa" w:w="9648"/>
            <w:shd w:val="clear" w:fill="F2F2F6"/>
            <w:tcBorders>
              <w:top w:val="nil"/>
              <w:left w:val="nil"/>
              <w:bottom w:val="nil"/>
              <w:right w:val="nil"/>
            </w:tcBorders>
          </w:tcPr>
          <w:p>
            <w:pPr>
              <w:spacing w:after="0" w:before="20" w:line="240" w:lineRule="auto"/>
            </w:pPr>
            <w:r>
              <w:rPr>
                <w:rFonts w:ascii="Consolas" w:hAnsi="Consolas"/>
                <w:color w:val="1A1A2E"/>
                <w:sz w:val="17"/>
              </w:rPr>
              <w:t>def latency_summary(timings_seconds):</w:t>
            </w:r>
          </w:p>
          <w:p>
            <w:pPr>
              <w:spacing w:after="0" w:before="20" w:line="240" w:lineRule="auto"/>
            </w:pPr>
            <w:r>
              <w:rPr>
                <w:rFonts w:ascii="Consolas" w:hAnsi="Consolas"/>
                <w:color w:val="1A1A2E"/>
                <w:sz w:val="17"/>
              </w:rPr>
              <w:t xml:space="preserve">    ordered = sorted(timings_seconds)</w:t>
            </w:r>
          </w:p>
          <w:p>
            <w:pPr>
              <w:spacing w:after="0" w:before="20" w:line="240" w:lineRule="auto"/>
            </w:pPr>
            <w:r>
              <w:rPr>
                <w:rFonts w:ascii="Consolas" w:hAnsi="Consolas"/>
                <w:color w:val="1A1A2E"/>
                <w:sz w:val="17"/>
              </w:rPr>
              <w:t xml:space="preserve">    idx = int(0.95 * len(ordered)) - 1</w:t>
            </w:r>
          </w:p>
          <w:p>
            <w:pPr>
              <w:spacing w:after="0" w:before="20" w:line="240" w:lineRule="auto"/>
            </w:pPr>
            <w:r>
              <w:rPr>
                <w:rFonts w:ascii="Consolas" w:hAnsi="Consolas"/>
                <w:color w:val="1A1A2E"/>
                <w:sz w:val="17"/>
              </w:rPr>
              <w:t xml:space="preserve">    return {"mean": sum(ordered) / len(ordered), "p95": ordered[idx]}</w:t>
            </w:r>
          </w:p>
        </w:tc>
      </w:tr>
    </w:tbl>
    <w:p>
      <w:pPr>
        <w:spacing w:after="80"/>
      </w:pPr>
    </w:p>
    <w:tbl>
      <w:tblPr>
        <w:tblW w:type="auto" w:w="0"/>
        <w:jc w:val="center"/>
        <w:tblLayout w:type="fixed"/>
        <w:tblLook w:firstColumn="1" w:firstRow="1" w:lastColumn="0" w:lastRow="0" w:noHBand="0" w:noVBand="1" w:val="04A0"/>
      </w:tblPr>
      <w:tblGrid>
        <w:gridCol w:w="3216"/>
        <w:gridCol w:w="3216"/>
        <w:gridCol w:w="3216"/>
      </w:tblGrid>
      <w:tr>
        <w:tc>
          <w:tcPr>
            <w:tcW w:type="dxa" w:w="2448"/>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Measure</w:t>
            </w:r>
          </w:p>
        </w:tc>
        <w:tc>
          <w:tcPr>
            <w:tcW w:type="dxa" w:w="1872"/>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Target</w:t>
            </w:r>
          </w:p>
        </w:tc>
        <w:tc>
          <w:tcPr>
            <w:tcW w:type="dxa" w:w="5328"/>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How to establish it</w:t>
            </w:r>
          </w:p>
        </w:tc>
      </w:tr>
      <w:tr>
        <w:tc>
          <w:tcPr>
            <w:tcW w:type="dxa" w:w="2448"/>
            <w:tcBorders>
              <w:top w:val="single" w:sz="6" w:color="D9D9E0"/>
              <w:left w:val="single" w:sz="6" w:color="D9D9E0"/>
              <w:bottom w:val="single" w:sz="6" w:color="D9D9E0"/>
              <w:right w:val="single" w:sz="6" w:color="D9D9E0"/>
            </w:tcBorders>
          </w:tcPr>
          <w:p>
            <w:pPr>
              <w:spacing w:before="50" w:after="50"/>
            </w:pPr>
            <w:r>
              <w:rPr>
                <w:sz w:val="17"/>
              </w:rPr>
              <w:t>Classification precision</w:t>
            </w:r>
          </w:p>
        </w:tc>
        <w:tc>
          <w:tcPr>
            <w:tcW w:type="dxa" w:w="1872"/>
            <w:tcBorders>
              <w:top w:val="single" w:sz="6" w:color="D9D9E0"/>
              <w:left w:val="single" w:sz="6" w:color="D9D9E0"/>
              <w:bottom w:val="single" w:sz="6" w:color="D9D9E0"/>
              <w:right w:val="single" w:sz="6" w:color="D9D9E0"/>
            </w:tcBorders>
          </w:tcPr>
          <w:p>
            <w:pPr>
              <w:spacing w:before="50" w:after="50"/>
            </w:pPr>
            <w:r>
              <w:rPr>
                <w:sz w:val="17"/>
              </w:rPr>
              <w:t>85% or better</w:t>
            </w:r>
          </w:p>
        </w:tc>
        <w:tc>
          <w:tcPr>
            <w:tcW w:type="dxa" w:w="5328"/>
            <w:tcBorders>
              <w:top w:val="single" w:sz="6" w:color="D9D9E0"/>
              <w:left w:val="single" w:sz="6" w:color="D9D9E0"/>
              <w:bottom w:val="single" w:sz="6" w:color="D9D9E0"/>
              <w:right w:val="single" w:sz="6" w:color="D9D9E0"/>
            </w:tcBorders>
          </w:tcPr>
          <w:p>
            <w:pPr>
              <w:spacing w:before="50" w:after="50"/>
            </w:pPr>
            <w:r>
              <w:rPr>
                <w:sz w:val="17"/>
              </w:rPr>
              <w:t>Held-out test set, per class.</w:t>
            </w:r>
          </w:p>
        </w:tc>
      </w:tr>
      <w:tr>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7"/>
              </w:rPr>
              <w:t>Hallucination rate</w:t>
            </w:r>
          </w:p>
        </w:tc>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7"/>
              </w:rPr>
              <w:t>5% or lower</w:t>
            </w:r>
          </w:p>
        </w:tc>
        <w:tc>
          <w:tcPr>
            <w:tcW w:type="dxa" w:w="5328"/>
            <w:tcBorders>
              <w:top w:val="single" w:sz="6" w:color="D9D9E0"/>
              <w:left w:val="single" w:sz="6" w:color="D9D9E0"/>
              <w:bottom w:val="single" w:sz="6" w:color="D9D9E0"/>
              <w:right w:val="single" w:sz="6" w:color="D9D9E0"/>
            </w:tcBorders>
            <w:shd w:val="clear" w:fill="F4F4F7"/>
          </w:tcPr>
          <w:p>
            <w:pPr>
              <w:spacing w:before="50" w:after="50"/>
            </w:pPr>
            <w:r>
              <w:rPr>
                <w:sz w:val="17"/>
              </w:rPr>
              <w:t>Human review of at least fifty responses, two assessors.</w:t>
            </w:r>
          </w:p>
        </w:tc>
      </w:tr>
      <w:tr>
        <w:tc>
          <w:tcPr>
            <w:tcW w:type="dxa" w:w="2448"/>
            <w:tcBorders>
              <w:top w:val="single" w:sz="6" w:color="D9D9E0"/>
              <w:left w:val="single" w:sz="6" w:color="D9D9E0"/>
              <w:bottom w:val="single" w:sz="6" w:color="D9D9E0"/>
              <w:right w:val="single" w:sz="6" w:color="D9D9E0"/>
            </w:tcBorders>
          </w:tcPr>
          <w:p>
            <w:pPr>
              <w:spacing w:before="50" w:after="50"/>
            </w:pPr>
            <w:r>
              <w:rPr>
                <w:sz w:val="17"/>
              </w:rPr>
              <w:t>Citation accuracy</w:t>
            </w:r>
          </w:p>
        </w:tc>
        <w:tc>
          <w:tcPr>
            <w:tcW w:type="dxa" w:w="1872"/>
            <w:tcBorders>
              <w:top w:val="single" w:sz="6" w:color="D9D9E0"/>
              <w:left w:val="single" w:sz="6" w:color="D9D9E0"/>
              <w:bottom w:val="single" w:sz="6" w:color="D9D9E0"/>
              <w:right w:val="single" w:sz="6" w:color="D9D9E0"/>
            </w:tcBorders>
          </w:tcPr>
          <w:p>
            <w:pPr>
              <w:spacing w:before="50" w:after="50"/>
            </w:pPr>
            <w:r>
              <w:rPr>
                <w:sz w:val="17"/>
              </w:rPr>
              <w:t>95% or better</w:t>
            </w:r>
          </w:p>
        </w:tc>
        <w:tc>
          <w:tcPr>
            <w:tcW w:type="dxa" w:w="5328"/>
            <w:tcBorders>
              <w:top w:val="single" w:sz="6" w:color="D9D9E0"/>
              <w:left w:val="single" w:sz="6" w:color="D9D9E0"/>
              <w:bottom w:val="single" w:sz="6" w:color="D9D9E0"/>
              <w:right w:val="single" w:sz="6" w:color="D9D9E0"/>
            </w:tcBorders>
          </w:tcPr>
          <w:p>
            <w:pPr>
              <w:spacing w:before="50" w:after="50"/>
            </w:pPr>
            <w:r>
              <w:rPr>
                <w:sz w:val="17"/>
              </w:rPr>
              <w:t>Check each citation against the sentence it supports.</w:t>
            </w:r>
          </w:p>
        </w:tc>
      </w:tr>
      <w:tr>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7"/>
              </w:rPr>
              <w:t>Latency, 95th percentile</w:t>
            </w:r>
          </w:p>
        </w:tc>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7"/>
              </w:rPr>
              <w:t>Under 3 seconds</w:t>
            </w:r>
          </w:p>
        </w:tc>
        <w:tc>
          <w:tcPr>
            <w:tcW w:type="dxa" w:w="5328"/>
            <w:tcBorders>
              <w:top w:val="single" w:sz="6" w:color="D9D9E0"/>
              <w:left w:val="single" w:sz="6" w:color="D9D9E0"/>
              <w:bottom w:val="single" w:sz="6" w:color="D9D9E0"/>
              <w:right w:val="single" w:sz="6" w:color="D9D9E0"/>
            </w:tcBorders>
            <w:shd w:val="clear" w:fill="F4F4F7"/>
          </w:tcPr>
          <w:p>
            <w:pPr>
              <w:spacing w:before="50" w:after="50"/>
            </w:pPr>
            <w:r>
              <w:rPr>
                <w:sz w:val="17"/>
              </w:rPr>
              <w:t>Measured end to end, including retrieval.</w:t>
            </w:r>
          </w:p>
        </w:tc>
      </w:tr>
      <w:tr>
        <w:tc>
          <w:tcPr>
            <w:tcW w:type="dxa" w:w="2448"/>
            <w:tcBorders>
              <w:top w:val="single" w:sz="6" w:color="D9D9E0"/>
              <w:left w:val="single" w:sz="6" w:color="D9D9E0"/>
              <w:bottom w:val="single" w:sz="6" w:color="D9D9E0"/>
              <w:right w:val="single" w:sz="6" w:color="D9D9E0"/>
            </w:tcBorders>
          </w:tcPr>
          <w:p>
            <w:pPr>
              <w:spacing w:before="50" w:after="50"/>
            </w:pPr>
            <w:r>
              <w:rPr>
                <w:sz w:val="17"/>
              </w:rPr>
              <w:t>Availability</w:t>
            </w:r>
          </w:p>
        </w:tc>
        <w:tc>
          <w:tcPr>
            <w:tcW w:type="dxa" w:w="1872"/>
            <w:tcBorders>
              <w:top w:val="single" w:sz="6" w:color="D9D9E0"/>
              <w:left w:val="single" w:sz="6" w:color="D9D9E0"/>
              <w:bottom w:val="single" w:sz="6" w:color="D9D9E0"/>
              <w:right w:val="single" w:sz="6" w:color="D9D9E0"/>
            </w:tcBorders>
          </w:tcPr>
          <w:p>
            <w:pPr>
              <w:spacing w:before="50" w:after="50"/>
            </w:pPr>
            <w:r>
              <w:rPr>
                <w:sz w:val="17"/>
              </w:rPr>
              <w:t>99.5% or better</w:t>
            </w:r>
          </w:p>
        </w:tc>
        <w:tc>
          <w:tcPr>
            <w:tcW w:type="dxa" w:w="5328"/>
            <w:tcBorders>
              <w:top w:val="single" w:sz="6" w:color="D9D9E0"/>
              <w:left w:val="single" w:sz="6" w:color="D9D9E0"/>
              <w:bottom w:val="single" w:sz="6" w:color="D9D9E0"/>
              <w:right w:val="single" w:sz="6" w:color="D9D9E0"/>
            </w:tcBorders>
          </w:tcPr>
          <w:p>
            <w:pPr>
              <w:spacing w:before="50" w:after="50"/>
            </w:pPr>
            <w:r>
              <w:rPr>
                <w:sz w:val="17"/>
              </w:rPr>
              <w:t>Include behaviour when the model provider fails.</w:t>
            </w:r>
          </w:p>
        </w:tc>
      </w:tr>
    </w:tbl>
    <w:p>
      <w:pPr>
        <w:spacing w:after="80"/>
      </w:pPr>
    </w:p>
    <w:p>
      <w:r>
        <w:br w:type="page"/>
      </w:r>
    </w:p>
    <w:p>
      <w:pPr>
        <w:spacing w:before="440" w:after="60"/>
        <w:pBdr>
          <w:bottom w:val="single" w:sz="8" w:space="6" w:color="E8660A"/>
        </w:pBdr>
      </w:pPr>
      <w:r>
        <w:rPr>
          <w:b/>
          <w:color w:val="E8660A"/>
          <w:sz w:val="34"/>
        </w:rPr>
        <w:t xml:space="preserve">3   </w:t>
      </w:r>
      <w:r>
        <w:rPr>
          <w:b/>
          <w:color w:val="1A1A2E"/>
          <w:sz w:val="34"/>
        </w:rPr>
        <w:t>Tier three: governance conditions</w:t>
      </w:r>
    </w:p>
    <w:p>
      <w:pPr>
        <w:spacing w:after="140"/>
      </w:pPr>
      <w:r>
        <w:rPr>
          <w:i w:val="0"/>
          <w:sz w:val="21"/>
        </w:rPr>
        <w:t>These are not targets to approach. They either hold or they do not, and a system that fails any of them is not deployable whatever its other numbers say.</w:t>
      </w:r>
    </w:p>
    <w:tbl>
      <w:tblPr>
        <w:tblW w:type="auto" w:w="0"/>
        <w:jc w:val="center"/>
        <w:tblLayout w:type="fixed"/>
        <w:tblLook w:firstColumn="1" w:firstRow="1" w:lastColumn="0" w:lastRow="0" w:noHBand="0" w:noVBand="1" w:val="04A0"/>
      </w:tblPr>
      <w:tblGrid>
        <w:gridCol w:w="3216"/>
        <w:gridCol w:w="3216"/>
        <w:gridCol w:w="3216"/>
      </w:tblGrid>
      <w:tr>
        <w:tc>
          <w:tcPr>
            <w:tcW w:type="dxa" w:w="2160"/>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Condition</w:t>
            </w:r>
          </w:p>
        </w:tc>
        <w:tc>
          <w:tcPr>
            <w:tcW w:type="dxa" w:w="2448"/>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Requirement</w:t>
            </w:r>
          </w:p>
        </w:tc>
        <w:tc>
          <w:tcPr>
            <w:tcW w:type="dxa" w:w="5040"/>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How you demonstrate it</w:t>
            </w:r>
          </w:p>
        </w:tc>
      </w:tr>
      <w:tr>
        <w:tc>
          <w:tcPr>
            <w:tcW w:type="dxa" w:w="2160"/>
            <w:tcBorders>
              <w:top w:val="single" w:sz="6" w:color="D9D9E0"/>
              <w:left w:val="single" w:sz="6" w:color="D9D9E0"/>
              <w:bottom w:val="single" w:sz="6" w:color="D9D9E0"/>
              <w:right w:val="single" w:sz="6" w:color="D9D9E0"/>
            </w:tcBorders>
          </w:tcPr>
          <w:p>
            <w:pPr>
              <w:spacing w:before="50" w:after="50"/>
            </w:pPr>
            <w:r>
              <w:rPr>
                <w:sz w:val="17"/>
              </w:rPr>
              <w:t>Private data in outbound text</w:t>
            </w:r>
          </w:p>
        </w:tc>
        <w:tc>
          <w:tcPr>
            <w:tcW w:type="dxa" w:w="2448"/>
            <w:tcBorders>
              <w:top w:val="single" w:sz="6" w:color="D9D9E0"/>
              <w:left w:val="single" w:sz="6" w:color="D9D9E0"/>
              <w:bottom w:val="single" w:sz="6" w:color="D9D9E0"/>
              <w:right w:val="single" w:sz="6" w:color="D9D9E0"/>
            </w:tcBorders>
          </w:tcPr>
          <w:p>
            <w:pPr>
              <w:spacing w:before="50" w:after="50"/>
            </w:pPr>
            <w:r>
              <w:rPr>
                <w:sz w:val="17"/>
              </w:rPr>
              <w:t>Zero occurrences.</w:t>
            </w:r>
          </w:p>
        </w:tc>
        <w:tc>
          <w:tcPr>
            <w:tcW w:type="dxa" w:w="5040"/>
            <w:tcBorders>
              <w:top w:val="single" w:sz="6" w:color="D9D9E0"/>
              <w:left w:val="single" w:sz="6" w:color="D9D9E0"/>
              <w:bottom w:val="single" w:sz="6" w:color="D9D9E0"/>
              <w:right w:val="single" w:sz="6" w:color="D9D9E0"/>
            </w:tcBorders>
          </w:tcPr>
          <w:p>
            <w:pPr>
              <w:spacing w:before="50" w:after="50"/>
            </w:pPr>
            <w:r>
              <w:rPr>
                <w:sz w:val="17"/>
              </w:rPr>
              <w:t>Automated scan of every generated response plus manual review of a sample.</w:t>
            </w:r>
          </w:p>
        </w:tc>
      </w:tr>
      <w:tr>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7"/>
              </w:rPr>
              <w:t>Quality across customer groups</w:t>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7"/>
              </w:rPr>
              <w:t>Under five percentage points of variation.</w:t>
            </w:r>
          </w:p>
        </w:tc>
        <w:tc>
          <w:tcPr>
            <w:tcW w:type="dxa" w:w="5040"/>
            <w:tcBorders>
              <w:top w:val="single" w:sz="6" w:color="D9D9E0"/>
              <w:left w:val="single" w:sz="6" w:color="D9D9E0"/>
              <w:bottom w:val="single" w:sz="6" w:color="D9D9E0"/>
              <w:right w:val="single" w:sz="6" w:color="D9D9E0"/>
            </w:tcBorders>
            <w:shd w:val="clear" w:fill="F4F4F7"/>
          </w:tcPr>
          <w:p>
            <w:pPr>
              <w:spacing w:before="50" w:after="50"/>
            </w:pPr>
            <w:r>
              <w:rPr>
                <w:sz w:val="17"/>
              </w:rPr>
              <w:t>Segment your test set and compare resolution quality across segments.</w:t>
            </w:r>
          </w:p>
        </w:tc>
      </w:tr>
      <w:tr>
        <w:tc>
          <w:tcPr>
            <w:tcW w:type="dxa" w:w="2160"/>
            <w:tcBorders>
              <w:top w:val="single" w:sz="6" w:color="D9D9E0"/>
              <w:left w:val="single" w:sz="6" w:color="D9D9E0"/>
              <w:bottom w:val="single" w:sz="6" w:color="D9D9E0"/>
              <w:right w:val="single" w:sz="6" w:color="D9D9E0"/>
            </w:tcBorders>
          </w:tcPr>
          <w:p>
            <w:pPr>
              <w:spacing w:before="50" w:after="50"/>
            </w:pPr>
            <w:r>
              <w:rPr>
                <w:sz w:val="17"/>
              </w:rPr>
              <w:t>Decision logging</w:t>
            </w:r>
          </w:p>
        </w:tc>
        <w:tc>
          <w:tcPr>
            <w:tcW w:type="dxa" w:w="2448"/>
            <w:tcBorders>
              <w:top w:val="single" w:sz="6" w:color="D9D9E0"/>
              <w:left w:val="single" w:sz="6" w:color="D9D9E0"/>
              <w:bottom w:val="single" w:sz="6" w:color="D9D9E0"/>
              <w:right w:val="single" w:sz="6" w:color="D9D9E0"/>
            </w:tcBorders>
          </w:tcPr>
          <w:p>
            <w:pPr>
              <w:spacing w:before="50" w:after="50"/>
            </w:pPr>
            <w:r>
              <w:rPr>
                <w:sz w:val="17"/>
              </w:rPr>
              <w:t>Complete coverage.</w:t>
            </w:r>
          </w:p>
        </w:tc>
        <w:tc>
          <w:tcPr>
            <w:tcW w:type="dxa" w:w="5040"/>
            <w:tcBorders>
              <w:top w:val="single" w:sz="6" w:color="D9D9E0"/>
              <w:left w:val="single" w:sz="6" w:color="D9D9E0"/>
              <w:bottom w:val="single" w:sz="6" w:color="D9D9E0"/>
              <w:right w:val="single" w:sz="6" w:color="D9D9E0"/>
            </w:tcBorders>
          </w:tcPr>
          <w:p>
            <w:pPr>
              <w:spacing w:before="50" w:after="50"/>
            </w:pPr>
            <w:r>
              <w:rPr>
                <w:sz w:val="17"/>
              </w:rPr>
              <w:t>Count logged decisions against processed tickets; they must match exactly.</w:t>
            </w:r>
          </w:p>
        </w:tc>
      </w:tr>
      <w:tr>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7"/>
              </w:rPr>
              <w:t>Confidence calibration</w:t>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7"/>
              </w:rPr>
              <w:t>Stated confidence within five points of observed accuracy.</w:t>
            </w:r>
          </w:p>
        </w:tc>
        <w:tc>
          <w:tcPr>
            <w:tcW w:type="dxa" w:w="5040"/>
            <w:tcBorders>
              <w:top w:val="single" w:sz="6" w:color="D9D9E0"/>
              <w:left w:val="single" w:sz="6" w:color="D9D9E0"/>
              <w:bottom w:val="single" w:sz="6" w:color="D9D9E0"/>
              <w:right w:val="single" w:sz="6" w:color="D9D9E0"/>
            </w:tcBorders>
            <w:shd w:val="clear" w:fill="F4F4F7"/>
          </w:tcPr>
          <w:p>
            <w:pPr>
              <w:spacing w:before="50" w:after="50"/>
            </w:pPr>
            <w:r>
              <w:rPr>
                <w:sz w:val="17"/>
              </w:rPr>
              <w:t>Bin predictions by confidence and compare each bin's accuracy to its stated confidence.</w:t>
            </w:r>
          </w:p>
        </w:tc>
      </w:tr>
    </w:tbl>
    <w:p>
      <w:pPr>
        <w:spacing w:after="80"/>
      </w:pPr>
    </w:p>
    <w:p>
      <w:pPr>
        <w:spacing w:before="300" w:after="60"/>
      </w:pPr>
      <w:r>
        <w:rPr>
          <w:b/>
          <w:color w:val="1A1A2E"/>
          <w:sz w:val="25"/>
        </w:rPr>
        <w:t>On calibration, which students usually skip</w:t>
      </w:r>
    </w:p>
    <w:p>
      <w:pPr>
        <w:spacing w:after="140"/>
      </w:pPr>
      <w:r>
        <w:rPr>
          <w:i w:val="0"/>
          <w:sz w:val="21"/>
        </w:rPr>
        <w:t>Your routing decision depends on a confidence score. If the score is not calibrated, the threshold is meaningless. Group your predictions into confidence bands and check whether the predictions in the eighty to ninety per cent band were actually correct about eighty-five per cent of the time. If they were correct sixty per cent of the time, your threshold is letting through work the system cannot handle, and no amount of tuning elsewhere will fix that.</w:t>
      </w:r>
    </w:p>
    <w:tbl>
      <w:tblPr>
        <w:tblW w:type="auto" w:w="0"/>
        <w:tblLook w:firstColumn="1" w:firstRow="1" w:lastColumn="0" w:lastRow="0" w:noHBand="0" w:noVBand="1" w:val="04A0"/>
      </w:tblPr>
      <w:tblGrid>
        <w:gridCol w:w="9648"/>
      </w:tblGrid>
      <w:tr>
        <w:tc>
          <w:tcPr>
            <w:tcW w:type="dxa" w:w="9648"/>
            <w:shd w:val="clear" w:fill="F2F2F6"/>
            <w:tcBorders>
              <w:top w:val="nil"/>
              <w:left w:val="nil"/>
              <w:bottom w:val="nil"/>
              <w:right w:val="nil"/>
            </w:tcBorders>
          </w:tcPr>
          <w:p>
            <w:pPr>
              <w:spacing w:after="0" w:before="20" w:line="240" w:lineRule="auto"/>
            </w:pPr>
            <w:r>
              <w:rPr>
                <w:rFonts w:ascii="Consolas" w:hAnsi="Consolas"/>
                <w:color w:val="1A1A2E"/>
                <w:sz w:val="17"/>
              </w:rPr>
              <w:t>def calibration_table(predictions, bands=5):</w:t>
            </w:r>
          </w:p>
          <w:p>
            <w:pPr>
              <w:spacing w:after="0" w:before="20" w:line="240" w:lineRule="auto"/>
            </w:pPr>
            <w:r>
              <w:rPr>
                <w:rFonts w:ascii="Consolas" w:hAnsi="Consolas"/>
                <w:color w:val="1A1A2E"/>
                <w:sz w:val="17"/>
              </w:rPr>
              <w:t xml:space="preserve">    """Compare stated confidence against observed accuracy per band."""</w:t>
            </w:r>
          </w:p>
          <w:p>
            <w:pPr>
              <w:spacing w:after="0" w:before="20" w:line="240" w:lineRule="auto"/>
            </w:pPr>
            <w:r>
              <w:rPr>
                <w:rFonts w:ascii="Consolas" w:hAnsi="Consolas"/>
                <w:color w:val="1A1A2E"/>
                <w:sz w:val="17"/>
              </w:rPr>
              <w:t xml:space="preserve">    rows = []</w:t>
            </w:r>
          </w:p>
          <w:p>
            <w:pPr>
              <w:spacing w:after="0" w:before="20" w:line="240" w:lineRule="auto"/>
            </w:pPr>
            <w:r>
              <w:rPr>
                <w:rFonts w:ascii="Consolas" w:hAnsi="Consolas"/>
                <w:color w:val="1A1A2E"/>
                <w:sz w:val="17"/>
              </w:rPr>
              <w:t xml:space="preserve">    for i in range(bands):</w:t>
            </w:r>
          </w:p>
          <w:p>
            <w:pPr>
              <w:spacing w:after="0" w:before="20" w:line="240" w:lineRule="auto"/>
            </w:pPr>
            <w:r>
              <w:rPr>
                <w:rFonts w:ascii="Consolas" w:hAnsi="Consolas"/>
                <w:color w:val="1A1A2E"/>
                <w:sz w:val="17"/>
              </w:rPr>
              <w:t xml:space="preserve">        low, high = i / bands, (i + 1) / bands</w:t>
            </w:r>
          </w:p>
          <w:p>
            <w:pPr>
              <w:spacing w:after="0" w:before="20" w:line="240" w:lineRule="auto"/>
            </w:pPr>
            <w:r>
              <w:rPr>
                <w:rFonts w:ascii="Consolas" w:hAnsi="Consolas"/>
                <w:color w:val="1A1A2E"/>
                <w:sz w:val="17"/>
              </w:rPr>
              <w:t xml:space="preserve">        group = [p for p in predictions if low &lt;= p.confidence &lt; high]</w:t>
            </w:r>
          </w:p>
          <w:p>
            <w:pPr>
              <w:spacing w:after="0" w:before="20" w:line="240" w:lineRule="auto"/>
            </w:pPr>
            <w:r>
              <w:rPr>
                <w:rFonts w:ascii="Consolas" w:hAnsi="Consolas"/>
                <w:color w:val="1A1A2E"/>
                <w:sz w:val="17"/>
              </w:rPr>
              <w:t xml:space="preserve">        if not group:</w:t>
            </w:r>
          </w:p>
          <w:p>
            <w:pPr>
              <w:spacing w:after="0" w:before="20" w:line="240" w:lineRule="auto"/>
            </w:pPr>
            <w:r>
              <w:rPr>
                <w:rFonts w:ascii="Consolas" w:hAnsi="Consolas"/>
                <w:color w:val="1A1A2E"/>
                <w:sz w:val="17"/>
              </w:rPr>
              <w:t xml:space="preserve">            continue</w:t>
            </w:r>
          </w:p>
          <w:p>
            <w:pPr>
              <w:spacing w:after="0" w:before="20" w:line="240" w:lineRule="auto"/>
            </w:pPr>
            <w:r>
              <w:rPr>
                <w:rFonts w:ascii="Consolas" w:hAnsi="Consolas"/>
                <w:color w:val="1A1A2E"/>
                <w:sz w:val="17"/>
              </w:rPr>
              <w:t xml:space="preserve">        stated = sum(p.confidence for p in group) / len(group)</w:t>
            </w:r>
          </w:p>
          <w:p>
            <w:pPr>
              <w:spacing w:after="0" w:before="20" w:line="240" w:lineRule="auto"/>
            </w:pPr>
            <w:r>
              <w:rPr>
                <w:rFonts w:ascii="Consolas" w:hAnsi="Consolas"/>
                <w:color w:val="1A1A2E"/>
                <w:sz w:val="17"/>
              </w:rPr>
              <w:t xml:space="preserve">        observed = sum(1 for p in group if p.correct) / len(group)</w:t>
            </w:r>
          </w:p>
          <w:p>
            <w:pPr>
              <w:spacing w:after="0" w:before="20" w:line="240" w:lineRule="auto"/>
            </w:pPr>
            <w:r>
              <w:rPr>
                <w:rFonts w:ascii="Consolas" w:hAnsi="Consolas"/>
                <w:color w:val="1A1A2E"/>
                <w:sz w:val="17"/>
              </w:rPr>
              <w:t xml:space="preserve">        rows.append((low, high, len(group), stated, observed, stated - observed))</w:t>
            </w:r>
          </w:p>
          <w:p>
            <w:pPr>
              <w:spacing w:after="0" w:before="20" w:line="240" w:lineRule="auto"/>
            </w:pPr>
            <w:r>
              <w:rPr>
                <w:rFonts w:ascii="Consolas" w:hAnsi="Consolas"/>
                <w:color w:val="1A1A2E"/>
                <w:sz w:val="17"/>
              </w:rPr>
              <w:t xml:space="preserve">    return rows</w:t>
            </w:r>
          </w:p>
        </w:tc>
      </w:tr>
    </w:tbl>
    <w:p>
      <w:pPr>
        <w:spacing w:after="80"/>
      </w:pPr>
    </w:p>
    <w:p>
      <w:r>
        <w:br w:type="page"/>
      </w:r>
    </w:p>
    <w:p>
      <w:pPr>
        <w:spacing w:before="440" w:after="60"/>
        <w:pBdr>
          <w:bottom w:val="single" w:sz="8" w:space="6" w:color="E8660A"/>
        </w:pBdr>
      </w:pPr>
      <w:r>
        <w:rPr>
          <w:b/>
          <w:color w:val="E8660A"/>
          <w:sz w:val="34"/>
        </w:rPr>
        <w:t xml:space="preserve">4   </w:t>
      </w:r>
      <w:r>
        <w:rPr>
          <w:b/>
          <w:color w:val="1A1A2E"/>
          <w:sz w:val="34"/>
        </w:rPr>
        <w:t>Running the evaluation properly</w:t>
      </w:r>
    </w:p>
    <w:p>
      <w:pPr>
        <w:spacing w:after="140"/>
      </w:pPr>
      <w:r>
        <w:rPr>
          <w:i w:val="0"/>
          <w:sz w:val="21"/>
        </w:rPr>
        <w:t>The mechanics matter as much as the metrics. A carefully chosen metric measured badly tells you nothing.</w:t>
      </w:r>
    </w:p>
    <w:p>
      <w:pPr>
        <w:spacing w:before="300" w:after="60"/>
      </w:pPr>
      <w:r>
        <w:rPr>
          <w:b/>
          <w:color w:val="1A1A2E"/>
          <w:sz w:val="25"/>
        </w:rPr>
        <w:t>The run itself is a gate, not only a measurement</w:t>
      </w:r>
    </w:p>
    <w:p>
      <w:pPr>
        <w:spacing w:after="140"/>
      </w:pPr>
      <w:r>
        <w:rPr>
          <w:i w:val="0"/>
          <w:sz w:val="21"/>
        </w:rPr>
        <w:t>The single unattended run over the full evaluation set is what your project turns on. The Build Specification treats it as a pass or fail condition, and the figures below are what that run must produce automatically rather than what you calculate by hand afterwards. Build the harness in week two, run it in week two, and leave yourself the time to act on what it tells you.</w:t>
      </w:r>
    </w:p>
    <w:p>
      <w:pPr>
        <w:spacing w:before="300" w:after="60"/>
      </w:pPr>
      <w:r>
        <w:rPr>
          <w:b/>
          <w:color w:val="1A1A2E"/>
          <w:sz w:val="25"/>
        </w:rPr>
        <w:t>Protect the hidden evaluation set</w:t>
      </w:r>
    </w:p>
    <w:p>
      <w:pPr>
        <w:spacing w:after="140"/>
      </w:pPr>
      <w:r>
        <w:rPr>
          <w:i w:val="0"/>
          <w:sz w:val="21"/>
        </w:rPr>
        <w:t>The hundred tickets in the test file are held back for one reason: to tell you how your system behaves on tickets it has never seen. Every time you evaluate against them and then adjust something, you erode that. Develop against the sample tickets, keep a validation split of your own if you need one, and go to the test set once.</w:t>
      </w:r>
    </w:p>
    <w:p>
      <w:pPr>
        <w:spacing w:before="300" w:after="60"/>
      </w:pPr>
      <w:r>
        <w:rPr>
          <w:b/>
          <w:color w:val="1A1A2E"/>
          <w:sz w:val="25"/>
        </w:rPr>
        <w:t>Report what you did, not only what you found</w:t>
      </w:r>
    </w:p>
    <w:p>
      <w:pPr>
        <w:spacing w:after="140"/>
      </w:pPr>
      <w:r>
        <w:rPr>
          <w:i w:val="0"/>
          <w:sz w:val="21"/>
        </w:rPr>
        <w:t>State the date of your evaluation run, the number of tickets, the version of the system, and how many times you ran against the hidden evaluation set. A single honest run reported transparently is worth considerably more in the assessment than a better-looking number with an unclear provenance.</w:t>
      </w:r>
    </w:p>
    <w:p>
      <w:pPr>
        <w:spacing w:before="300" w:after="60"/>
      </w:pPr>
      <w:r>
        <w:rPr>
          <w:b/>
          <w:color w:val="1A1A2E"/>
          <w:sz w:val="25"/>
        </w:rPr>
        <w:t>The results table you should produce</w:t>
      </w:r>
    </w:p>
    <w:tbl>
      <w:tblPr>
        <w:tblW w:type="auto" w:w="0"/>
        <w:jc w:val="center"/>
        <w:tblLayout w:type="fixed"/>
        <w:tblLook w:firstColumn="1" w:firstRow="1" w:lastColumn="0" w:lastRow="0" w:noHBand="0" w:noVBand="1" w:val="04A0"/>
      </w:tblPr>
      <w:tblGrid>
        <w:gridCol w:w="1608"/>
        <w:gridCol w:w="1608"/>
        <w:gridCol w:w="1608"/>
        <w:gridCol w:w="1608"/>
        <w:gridCol w:w="1608"/>
        <w:gridCol w:w="1608"/>
      </w:tblGrid>
      <w:tr>
        <w:tc>
          <w:tcPr>
            <w:tcW w:type="dxa" w:w="230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Measure</w:t>
            </w:r>
          </w:p>
        </w:tc>
        <w:tc>
          <w:tcPr>
            <w:tcW w:type="dxa" w:w="1296"/>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Baseline</w:t>
            </w:r>
          </w:p>
        </w:tc>
        <w:tc>
          <w:tcPr>
            <w:tcW w:type="dxa" w:w="1080"/>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Target</w:t>
            </w:r>
          </w:p>
        </w:tc>
        <w:tc>
          <w:tcPr>
            <w:tcW w:type="dxa" w:w="1080"/>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Achieved</w:t>
            </w:r>
          </w:p>
        </w:tc>
        <w:tc>
          <w:tcPr>
            <w:tcW w:type="dxa" w:w="1728"/>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Confidence in the figure</w:t>
            </w:r>
          </w:p>
        </w:tc>
        <w:tc>
          <w:tcPr>
            <w:tcW w:type="dxa" w:w="2160"/>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Notes</w:t>
            </w:r>
          </w:p>
        </w:tc>
      </w:tr>
      <w:tr>
        <w:tc>
          <w:tcPr>
            <w:tcW w:type="dxa" w:w="2304"/>
            <w:tcBorders>
              <w:top w:val="single" w:sz="6" w:color="D9D9E0"/>
              <w:left w:val="single" w:sz="6" w:color="D9D9E0"/>
              <w:bottom w:val="single" w:sz="6" w:color="D9D9E0"/>
              <w:right w:val="single" w:sz="6" w:color="D9D9E0"/>
            </w:tcBorders>
          </w:tcPr>
          <w:p>
            <w:pPr>
              <w:spacing w:before="50" w:after="50"/>
            </w:pPr>
            <w:r>
              <w:rPr>
                <w:sz w:val="15"/>
              </w:rPr>
              <w:t>First contact resolution</w:t>
            </w:r>
          </w:p>
        </w:tc>
        <w:tc>
          <w:tcPr>
            <w:tcW w:type="dxa" w:w="1296"/>
            <w:tcBorders>
              <w:top w:val="single" w:sz="6" w:color="D9D9E0"/>
              <w:left w:val="single" w:sz="6" w:color="D9D9E0"/>
              <w:bottom w:val="single" w:sz="6" w:color="D9D9E0"/>
              <w:right w:val="single" w:sz="6" w:color="D9D9E0"/>
            </w:tcBorders>
          </w:tcPr>
          <w:p>
            <w:pPr>
              <w:spacing w:before="50" w:after="50"/>
            </w:pPr>
            <w:r>
              <w:rPr>
                <w:sz w:val="15"/>
              </w:rPr>
              <w:t>42%</w:t>
            </w:r>
          </w:p>
        </w:tc>
        <w:tc>
          <w:tcPr>
            <w:tcW w:type="dxa" w:w="1080"/>
            <w:tcBorders>
              <w:top w:val="single" w:sz="6" w:color="D9D9E0"/>
              <w:left w:val="single" w:sz="6" w:color="D9D9E0"/>
              <w:bottom w:val="single" w:sz="6" w:color="D9D9E0"/>
              <w:right w:val="single" w:sz="6" w:color="D9D9E0"/>
            </w:tcBorders>
          </w:tcPr>
          <w:p>
            <w:pPr>
              <w:spacing w:before="50" w:after="50"/>
            </w:pPr>
            <w:r>
              <w:rPr>
                <w:sz w:val="15"/>
              </w:rPr>
              <w:t>60%</w:t>
            </w:r>
          </w:p>
        </w:tc>
        <w:tc>
          <w:tcPr>
            <w:tcW w:type="dxa" w:w="1080"/>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c>
          <w:tcPr>
            <w:tcW w:type="dxa" w:w="2160"/>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t>Mean time to first reply</w:t>
            </w:r>
          </w:p>
        </w:tc>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5"/>
              </w:rPr>
              <w:t>8 to 12 hrs</w:t>
            </w:r>
          </w:p>
        </w:tc>
        <w:tc>
          <w:tcPr>
            <w:tcW w:type="dxa" w:w="1080"/>
            <w:tcBorders>
              <w:top w:val="single" w:sz="6" w:color="D9D9E0"/>
              <w:left w:val="single" w:sz="6" w:color="D9D9E0"/>
              <w:bottom w:val="single" w:sz="6" w:color="D9D9E0"/>
              <w:right w:val="single" w:sz="6" w:color="D9D9E0"/>
            </w:tcBorders>
            <w:shd w:val="clear" w:fill="F4F4F7"/>
          </w:tcPr>
          <w:p>
            <w:pPr>
              <w:spacing w:before="50" w:after="50"/>
            </w:pPr>
            <w:r>
              <w:rPr>
                <w:sz w:val="15"/>
              </w:rPr>
              <w:t>&lt; 5 min</w:t>
            </w:r>
          </w:p>
        </w:tc>
        <w:tc>
          <w:tcPr>
            <w:tcW w:type="dxa" w:w="1080"/>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2304"/>
            <w:tcBorders>
              <w:top w:val="single" w:sz="6" w:color="D9D9E0"/>
              <w:left w:val="single" w:sz="6" w:color="D9D9E0"/>
              <w:bottom w:val="single" w:sz="6" w:color="D9D9E0"/>
              <w:right w:val="single" w:sz="6" w:color="D9D9E0"/>
            </w:tcBorders>
          </w:tcPr>
          <w:p>
            <w:pPr>
              <w:spacing w:before="50" w:after="50"/>
            </w:pPr>
            <w:r>
              <w:rPr>
                <w:sz w:val="15"/>
              </w:rPr>
              <w:t>Satisfaction proxy</w:t>
            </w:r>
          </w:p>
        </w:tc>
        <w:tc>
          <w:tcPr>
            <w:tcW w:type="dxa" w:w="1296"/>
            <w:tcBorders>
              <w:top w:val="single" w:sz="6" w:color="D9D9E0"/>
              <w:left w:val="single" w:sz="6" w:color="D9D9E0"/>
              <w:bottom w:val="single" w:sz="6" w:color="D9D9E0"/>
              <w:right w:val="single" w:sz="6" w:color="D9D9E0"/>
            </w:tcBorders>
          </w:tcPr>
          <w:p>
            <w:pPr>
              <w:spacing w:before="50" w:after="50"/>
            </w:pPr>
            <w:r>
              <w:rPr>
                <w:sz w:val="15"/>
              </w:rPr>
              <w:t>3.2 / 5</w:t>
            </w:r>
          </w:p>
        </w:tc>
        <w:tc>
          <w:tcPr>
            <w:tcW w:type="dxa" w:w="1080"/>
            <w:tcBorders>
              <w:top w:val="single" w:sz="6" w:color="D9D9E0"/>
              <w:left w:val="single" w:sz="6" w:color="D9D9E0"/>
              <w:bottom w:val="single" w:sz="6" w:color="D9D9E0"/>
              <w:right w:val="single" w:sz="6" w:color="D9D9E0"/>
            </w:tcBorders>
          </w:tcPr>
          <w:p>
            <w:pPr>
              <w:spacing w:before="50" w:after="50"/>
            </w:pPr>
            <w:r>
              <w:rPr>
                <w:sz w:val="15"/>
              </w:rPr>
              <w:t>4.0</w:t>
            </w:r>
          </w:p>
        </w:tc>
        <w:tc>
          <w:tcPr>
            <w:tcW w:type="dxa" w:w="1080"/>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c>
          <w:tcPr>
            <w:tcW w:type="dxa" w:w="2160"/>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t>Escalation rate</w:t>
            </w:r>
          </w:p>
        </w:tc>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5"/>
              </w:rPr>
              <w:t>58%</w:t>
            </w:r>
          </w:p>
        </w:tc>
        <w:tc>
          <w:tcPr>
            <w:tcW w:type="dxa" w:w="1080"/>
            <w:tcBorders>
              <w:top w:val="single" w:sz="6" w:color="D9D9E0"/>
              <w:left w:val="single" w:sz="6" w:color="D9D9E0"/>
              <w:bottom w:val="single" w:sz="6" w:color="D9D9E0"/>
              <w:right w:val="single" w:sz="6" w:color="D9D9E0"/>
            </w:tcBorders>
            <w:shd w:val="clear" w:fill="F4F4F7"/>
          </w:tcPr>
          <w:p>
            <w:pPr>
              <w:spacing w:before="50" w:after="50"/>
            </w:pPr>
            <w:r>
              <w:rPr>
                <w:sz w:val="15"/>
              </w:rPr>
              <w:t>≤ 30%</w:t>
            </w:r>
          </w:p>
        </w:tc>
        <w:tc>
          <w:tcPr>
            <w:tcW w:type="dxa" w:w="1080"/>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2304"/>
            <w:tcBorders>
              <w:top w:val="single" w:sz="6" w:color="D9D9E0"/>
              <w:left w:val="single" w:sz="6" w:color="D9D9E0"/>
              <w:bottom w:val="single" w:sz="6" w:color="D9D9E0"/>
              <w:right w:val="single" w:sz="6" w:color="D9D9E0"/>
            </w:tcBorders>
          </w:tcPr>
          <w:p>
            <w:pPr>
              <w:spacing w:before="50" w:after="50"/>
            </w:pPr>
            <w:r>
              <w:rPr>
                <w:sz w:val="15"/>
              </w:rPr>
              <w:t>Classification precision</w:t>
            </w:r>
          </w:p>
        </w:tc>
        <w:tc>
          <w:tcPr>
            <w:tcW w:type="dxa" w:w="1296"/>
            <w:tcBorders>
              <w:top w:val="single" w:sz="6" w:color="D9D9E0"/>
              <w:left w:val="single" w:sz="6" w:color="D9D9E0"/>
              <w:bottom w:val="single" w:sz="6" w:color="D9D9E0"/>
              <w:right w:val="single" w:sz="6" w:color="D9D9E0"/>
            </w:tcBorders>
          </w:tcPr>
          <w:p>
            <w:pPr>
              <w:spacing w:before="50" w:after="50"/>
            </w:pPr>
            <w:r>
              <w:rPr>
                <w:sz w:val="15"/>
              </w:rPr>
              <w:t>—</w:t>
            </w:r>
          </w:p>
        </w:tc>
        <w:tc>
          <w:tcPr>
            <w:tcW w:type="dxa" w:w="1080"/>
            <w:tcBorders>
              <w:top w:val="single" w:sz="6" w:color="D9D9E0"/>
              <w:left w:val="single" w:sz="6" w:color="D9D9E0"/>
              <w:bottom w:val="single" w:sz="6" w:color="D9D9E0"/>
              <w:right w:val="single" w:sz="6" w:color="D9D9E0"/>
            </w:tcBorders>
          </w:tcPr>
          <w:p>
            <w:pPr>
              <w:spacing w:before="50" w:after="50"/>
            </w:pPr>
            <w:r>
              <w:rPr>
                <w:sz w:val="15"/>
              </w:rPr>
              <w:t>85%</w:t>
            </w:r>
          </w:p>
        </w:tc>
        <w:tc>
          <w:tcPr>
            <w:tcW w:type="dxa" w:w="1080"/>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c>
          <w:tcPr>
            <w:tcW w:type="dxa" w:w="2160"/>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t>Hallucination rate</w:t>
            </w:r>
          </w:p>
        </w:tc>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5"/>
              </w:rPr>
              <w:t>—</w:t>
            </w:r>
          </w:p>
        </w:tc>
        <w:tc>
          <w:tcPr>
            <w:tcW w:type="dxa" w:w="1080"/>
            <w:tcBorders>
              <w:top w:val="single" w:sz="6" w:color="D9D9E0"/>
              <w:left w:val="single" w:sz="6" w:color="D9D9E0"/>
              <w:bottom w:val="single" w:sz="6" w:color="D9D9E0"/>
              <w:right w:val="single" w:sz="6" w:color="D9D9E0"/>
            </w:tcBorders>
            <w:shd w:val="clear" w:fill="F4F4F7"/>
          </w:tcPr>
          <w:p>
            <w:pPr>
              <w:spacing w:before="50" w:after="50"/>
            </w:pPr>
            <w:r>
              <w:rPr>
                <w:sz w:val="15"/>
              </w:rPr>
              <w:t>≤ 5%</w:t>
            </w:r>
          </w:p>
        </w:tc>
        <w:tc>
          <w:tcPr>
            <w:tcW w:type="dxa" w:w="1080"/>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2304"/>
            <w:tcBorders>
              <w:top w:val="single" w:sz="6" w:color="D9D9E0"/>
              <w:left w:val="single" w:sz="6" w:color="D9D9E0"/>
              <w:bottom w:val="single" w:sz="6" w:color="D9D9E0"/>
              <w:right w:val="single" w:sz="6" w:color="D9D9E0"/>
            </w:tcBorders>
          </w:tcPr>
          <w:p>
            <w:pPr>
              <w:spacing w:before="50" w:after="50"/>
            </w:pPr>
            <w:r>
              <w:rPr>
                <w:sz w:val="15"/>
              </w:rPr>
              <w:t>Citation accuracy</w:t>
            </w:r>
          </w:p>
        </w:tc>
        <w:tc>
          <w:tcPr>
            <w:tcW w:type="dxa" w:w="1296"/>
            <w:tcBorders>
              <w:top w:val="single" w:sz="6" w:color="D9D9E0"/>
              <w:left w:val="single" w:sz="6" w:color="D9D9E0"/>
              <w:bottom w:val="single" w:sz="6" w:color="D9D9E0"/>
              <w:right w:val="single" w:sz="6" w:color="D9D9E0"/>
            </w:tcBorders>
          </w:tcPr>
          <w:p>
            <w:pPr>
              <w:spacing w:before="50" w:after="50"/>
            </w:pPr>
            <w:r>
              <w:rPr>
                <w:sz w:val="15"/>
              </w:rPr>
              <w:t>—</w:t>
            </w:r>
          </w:p>
        </w:tc>
        <w:tc>
          <w:tcPr>
            <w:tcW w:type="dxa" w:w="1080"/>
            <w:tcBorders>
              <w:top w:val="single" w:sz="6" w:color="D9D9E0"/>
              <w:left w:val="single" w:sz="6" w:color="D9D9E0"/>
              <w:bottom w:val="single" w:sz="6" w:color="D9D9E0"/>
              <w:right w:val="single" w:sz="6" w:color="D9D9E0"/>
            </w:tcBorders>
          </w:tcPr>
          <w:p>
            <w:pPr>
              <w:spacing w:before="50" w:after="50"/>
            </w:pPr>
            <w:r>
              <w:rPr>
                <w:sz w:val="15"/>
              </w:rPr>
              <w:t>95%</w:t>
            </w:r>
          </w:p>
        </w:tc>
        <w:tc>
          <w:tcPr>
            <w:tcW w:type="dxa" w:w="1080"/>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c>
          <w:tcPr>
            <w:tcW w:type="dxa" w:w="2160"/>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t>Latency p95</w:t>
            </w:r>
          </w:p>
        </w:tc>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5"/>
              </w:rPr>
              <w:t>—</w:t>
            </w:r>
          </w:p>
        </w:tc>
        <w:tc>
          <w:tcPr>
            <w:tcW w:type="dxa" w:w="1080"/>
            <w:tcBorders>
              <w:top w:val="single" w:sz="6" w:color="D9D9E0"/>
              <w:left w:val="single" w:sz="6" w:color="D9D9E0"/>
              <w:bottom w:val="single" w:sz="6" w:color="D9D9E0"/>
              <w:right w:val="single" w:sz="6" w:color="D9D9E0"/>
            </w:tcBorders>
            <w:shd w:val="clear" w:fill="F4F4F7"/>
          </w:tcPr>
          <w:p>
            <w:pPr>
              <w:spacing w:before="50" w:after="50"/>
            </w:pPr>
            <w:r>
              <w:rPr>
                <w:sz w:val="15"/>
              </w:rPr>
              <w:t>&lt; 3 s</w:t>
            </w:r>
          </w:p>
        </w:tc>
        <w:tc>
          <w:tcPr>
            <w:tcW w:type="dxa" w:w="1080"/>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2304"/>
            <w:tcBorders>
              <w:top w:val="single" w:sz="6" w:color="D9D9E0"/>
              <w:left w:val="single" w:sz="6" w:color="D9D9E0"/>
              <w:bottom w:val="single" w:sz="6" w:color="D9D9E0"/>
              <w:right w:val="single" w:sz="6" w:color="D9D9E0"/>
            </w:tcBorders>
          </w:tcPr>
          <w:p>
            <w:pPr>
              <w:spacing w:before="50" w:after="50"/>
            </w:pPr>
            <w:r>
              <w:rPr>
                <w:sz w:val="15"/>
              </w:rPr>
              <w:t>Private data occurrences</w:t>
            </w:r>
          </w:p>
        </w:tc>
        <w:tc>
          <w:tcPr>
            <w:tcW w:type="dxa" w:w="1296"/>
            <w:tcBorders>
              <w:top w:val="single" w:sz="6" w:color="D9D9E0"/>
              <w:left w:val="single" w:sz="6" w:color="D9D9E0"/>
              <w:bottom w:val="single" w:sz="6" w:color="D9D9E0"/>
              <w:right w:val="single" w:sz="6" w:color="D9D9E0"/>
            </w:tcBorders>
          </w:tcPr>
          <w:p>
            <w:pPr>
              <w:spacing w:before="50" w:after="50"/>
            </w:pPr>
            <w:r>
              <w:rPr>
                <w:sz w:val="15"/>
              </w:rPr>
              <w:t>—</w:t>
            </w:r>
          </w:p>
        </w:tc>
        <w:tc>
          <w:tcPr>
            <w:tcW w:type="dxa" w:w="1080"/>
            <w:tcBorders>
              <w:top w:val="single" w:sz="6" w:color="D9D9E0"/>
              <w:left w:val="single" w:sz="6" w:color="D9D9E0"/>
              <w:bottom w:val="single" w:sz="6" w:color="D9D9E0"/>
              <w:right w:val="single" w:sz="6" w:color="D9D9E0"/>
            </w:tcBorders>
          </w:tcPr>
          <w:p>
            <w:pPr>
              <w:spacing w:before="50" w:after="50"/>
            </w:pPr>
            <w:r>
              <w:rPr>
                <w:sz w:val="15"/>
              </w:rPr>
              <w:t>0</w:t>
            </w:r>
          </w:p>
        </w:tc>
        <w:tc>
          <w:tcPr>
            <w:tcW w:type="dxa" w:w="1080"/>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c>
          <w:tcPr>
            <w:tcW w:type="dxa" w:w="2160"/>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t>Cross-group variation</w:t>
            </w:r>
          </w:p>
        </w:tc>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5"/>
              </w:rPr>
              <w:t>—</w:t>
            </w:r>
          </w:p>
        </w:tc>
        <w:tc>
          <w:tcPr>
            <w:tcW w:type="dxa" w:w="1080"/>
            <w:tcBorders>
              <w:top w:val="single" w:sz="6" w:color="D9D9E0"/>
              <w:left w:val="single" w:sz="6" w:color="D9D9E0"/>
              <w:bottom w:val="single" w:sz="6" w:color="D9D9E0"/>
              <w:right w:val="single" w:sz="6" w:color="D9D9E0"/>
            </w:tcBorders>
            <w:shd w:val="clear" w:fill="F4F4F7"/>
          </w:tcPr>
          <w:p>
            <w:pPr>
              <w:spacing w:before="50" w:after="50"/>
            </w:pPr>
            <w:r>
              <w:rPr>
                <w:sz w:val="15"/>
              </w:rPr>
              <w:t>&lt; 5 pts</w:t>
            </w:r>
          </w:p>
        </w:tc>
        <w:tc>
          <w:tcPr>
            <w:tcW w:type="dxa" w:w="1080"/>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5"/>
              </w:rPr>
            </w:r>
          </w:p>
        </w:tc>
      </w:tr>
    </w:tbl>
    <w:p>
      <w:pPr>
        <w:pStyle w:val="Heading3"/>
      </w:pPr>
      <w:r>
        <w:t>Results — free local configuration (graded configuration, D-01a)</w:t>
      </w:r>
    </w:p>
    <w:p>
      <w:r>
        <w:t>Run harness-20260920T133607Z-2394e653 (2026-09-20 UTC), 10 tickets, code 2db514c + uncommitted changes. Drafting llama3.1-8b-ctx8k; guardrails qwen2.5-7b-ctx8k. Confidence threshold 0.85; guardrails on; model cache off (49 live calls, 0 replayed). Runs against the hidden evaluation set: 0. Cost of the run: $0.0000 (73,142 tokens in, 2,480 out).</w:t>
      </w:r>
    </w:p>
    <w:tbl>
      <w:tblPr>
        <w:tblW w:type="auto" w:w="0"/>
        <w:jc w:val="center"/>
        <w:tblLayout w:type="fixed"/>
        <w:tblLook w:firstColumn="1" w:firstRow="1" w:lastColumn="0" w:lastRow="0" w:noHBand="0" w:noVBand="1" w:val="04A0"/>
      </w:tblPr>
      <w:tblGrid>
        <w:gridCol w:w="1608"/>
        <w:gridCol w:w="1608"/>
        <w:gridCol w:w="1608"/>
        <w:gridCol w:w="1608"/>
        <w:gridCol w:w="1608"/>
        <w:gridCol w:w="1608"/>
      </w:tblGrid>
      <w:tr>
        <w:tc>
          <w:tcPr>
            <w:tcW w:type="dxa" w:w="230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Measure</w:t>
            </w:r>
          </w:p>
        </w:tc>
        <w:tc>
          <w:tcPr>
            <w:tcW w:type="dxa" w:w="1296"/>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Baseline</w:t>
            </w:r>
          </w:p>
        </w:tc>
        <w:tc>
          <w:tcPr>
            <w:tcW w:type="dxa" w:w="1080"/>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Target</w:t>
            </w:r>
          </w:p>
        </w:tc>
        <w:tc>
          <w:tcPr>
            <w:tcW w:type="dxa" w:w="1080"/>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Achieved</w:t>
            </w:r>
          </w:p>
        </w:tc>
        <w:tc>
          <w:tcPr>
            <w:tcW w:type="dxa" w:w="1728"/>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Confidence in the figure</w:t>
            </w:r>
          </w:p>
        </w:tc>
        <w:tc>
          <w:tcPr>
            <w:tcW w:type="dxa" w:w="2160"/>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Notes</w:t>
            </w:r>
          </w:p>
        </w:tc>
      </w:tr>
      <w:tr>
        <w:tc>
          <w:tcPr>
            <w:tcW w:type="dxa" w:w="2304"/>
            <w:tcBorders>
              <w:top w:val="single" w:sz="6" w:color="D9D9E0"/>
              <w:left w:val="single" w:sz="6" w:color="D9D9E0"/>
              <w:bottom w:val="single" w:sz="6" w:color="D9D9E0"/>
              <w:right w:val="single" w:sz="6" w:color="D9D9E0"/>
            </w:tcBorders>
          </w:tcPr>
          <w:p>
            <w:pPr>
              <w:spacing w:before="50" w:after="50"/>
            </w:pPr>
            <w:r>
              <w:rPr>
                <w:sz w:val="15"/>
              </w:rPr>
              <w:t>First contact resolution</w:t>
            </w:r>
          </w:p>
        </w:tc>
        <w:tc>
          <w:tcPr>
            <w:tcW w:type="dxa" w:w="1296"/>
            <w:tcBorders>
              <w:top w:val="single" w:sz="6" w:color="D9D9E0"/>
              <w:left w:val="single" w:sz="6" w:color="D9D9E0"/>
              <w:bottom w:val="single" w:sz="6" w:color="D9D9E0"/>
              <w:right w:val="single" w:sz="6" w:color="D9D9E0"/>
            </w:tcBorders>
          </w:tcPr>
          <w:p>
            <w:pPr>
              <w:spacing w:before="50" w:after="50"/>
            </w:pPr>
            <w:r>
              <w:rPr>
                <w:sz w:val="15"/>
              </w:rPr>
              <w:t>42%</w:t>
            </w:r>
          </w:p>
        </w:tc>
        <w:tc>
          <w:tcPr>
            <w:tcW w:type="dxa" w:w="1080"/>
            <w:tcBorders>
              <w:top w:val="single" w:sz="6" w:color="D9D9E0"/>
              <w:left w:val="single" w:sz="6" w:color="D9D9E0"/>
              <w:bottom w:val="single" w:sz="6" w:color="D9D9E0"/>
              <w:right w:val="single" w:sz="6" w:color="D9D9E0"/>
            </w:tcBorders>
          </w:tcPr>
          <w:p>
            <w:pPr>
              <w:spacing w:before="50" w:after="50"/>
            </w:pPr>
            <w:r>
              <w:rPr>
                <w:sz w:val="15"/>
              </w:rPr>
              <w:t>60%</w:t>
            </w:r>
          </w:p>
        </w:tc>
        <w:tc>
          <w:tcPr>
            <w:tcW w:type="dxa" w:w="1080"/>
            <w:tcBorders>
              <w:top w:val="single" w:sz="6" w:color="D9D9E0"/>
              <w:left w:val="single" w:sz="6" w:color="D9D9E0"/>
              <w:bottom w:val="single" w:sz="6" w:color="D9D9E0"/>
              <w:right w:val="single" w:sz="6" w:color="D9D9E0"/>
            </w:tcBorders>
          </w:tcPr>
          <w:p>
            <w:pPr>
              <w:spacing w:before="50" w:after="50"/>
            </w:pPr>
            <w:r>
              <w:rPr>
                <w:b/>
              </w:rPr>
              <w:t>40.0% correctly resolved (50.0% auto-sent) — NOT MET</w:t>
            </w:r>
          </w:p>
        </w:tc>
        <w:tc>
          <w:tcPr>
            <w:tcW w:type="dxa" w:w="1728"/>
            <w:tcBorders>
              <w:top w:val="single" w:sz="6" w:color="D9D9E0"/>
              <w:left w:val="single" w:sz="6" w:color="D9D9E0"/>
              <w:bottom w:val="single" w:sz="6" w:color="D9D9E0"/>
              <w:right w:val="single" w:sz="6" w:color="D9D9E0"/>
            </w:tcBorders>
          </w:tcPr>
          <w:p>
            <w:pPr>
              <w:spacing w:before="50" w:after="50"/>
            </w:pPr>
            <w:r>
              <w:rPr>
                <w:b w:val="0"/>
              </w:rPr>
              <w:t>95% CI 17-69% (n=10)</w:t>
            </w:r>
          </w:p>
        </w:tc>
        <w:tc>
          <w:tcPr>
            <w:tcW w:type="dxa" w:w="2160"/>
            <w:tcBorders>
              <w:top w:val="single" w:sz="6" w:color="D9D9E0"/>
              <w:left w:val="single" w:sz="6" w:color="D9D9E0"/>
              <w:bottom w:val="single" w:sz="6" w:color="D9D9E0"/>
              <w:right w:val="single" w:sz="6" w:color="D9D9E0"/>
            </w:tcBorders>
          </w:tcPr>
          <w:p>
            <w:pPr>
              <w:spacing w:before="50" w:after="50"/>
            </w:pPr>
            <w:r>
              <w:rPr>
                <w:b w:val="0"/>
              </w:rPr>
              <w:t>1 of 5 sent replies went to tickets the labels say must be held, so they are not counted as resolved: a wrong answer returns as a repeat contact. Correctness is agreement with labels.expected_route, not a check of reply quality.</w:t>
            </w:r>
          </w:p>
        </w:tc>
      </w:tr>
      <w:tr>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t>Mean time to first reply</w:t>
            </w:r>
          </w:p>
        </w:tc>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5"/>
              </w:rPr>
              <w:t>8 to 12 hrs</w:t>
            </w:r>
          </w:p>
        </w:tc>
        <w:tc>
          <w:tcPr>
            <w:tcW w:type="dxa" w:w="1080"/>
            <w:tcBorders>
              <w:top w:val="single" w:sz="6" w:color="D9D9E0"/>
              <w:left w:val="single" w:sz="6" w:color="D9D9E0"/>
              <w:bottom w:val="single" w:sz="6" w:color="D9D9E0"/>
              <w:right w:val="single" w:sz="6" w:color="D9D9E0"/>
            </w:tcBorders>
            <w:shd w:val="clear" w:fill="F4F4F7"/>
          </w:tcPr>
          <w:p>
            <w:pPr>
              <w:spacing w:before="50" w:after="50"/>
            </w:pPr>
            <w:r>
              <w:rPr>
                <w:sz w:val="15"/>
              </w:rPr>
              <w:t>&lt; 5 min</w:t>
            </w:r>
          </w:p>
        </w:tc>
        <w:tc>
          <w:tcPr>
            <w:tcW w:type="dxa" w:w="1080"/>
            <w:tcBorders>
              <w:top w:val="single" w:sz="6" w:color="D9D9E0"/>
              <w:left w:val="single" w:sz="6" w:color="D9D9E0"/>
              <w:bottom w:val="single" w:sz="6" w:color="D9D9E0"/>
              <w:right w:val="single" w:sz="6" w:color="D9D9E0"/>
            </w:tcBorders>
            <w:shd w:val="clear" w:fill="F4F4F7"/>
          </w:tcPr>
          <w:p>
            <w:pPr>
              <w:spacing w:before="50" w:after="50"/>
            </w:pPr>
            <w:r>
              <w:rPr>
                <w:b w:val="0"/>
              </w:rPr>
              <w:t>57.4 s — MET</w:t>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b w:val="0"/>
              </w:rPr>
              <w:t>n=5 auto-sent tickets; median 56.9 s</w:t>
            </w:r>
          </w:p>
        </w:tc>
        <w:tc>
          <w:tcPr>
            <w:tcW w:type="dxa" w:w="2160"/>
            <w:tcBorders>
              <w:top w:val="single" w:sz="6" w:color="D9D9E0"/>
              <w:left w:val="single" w:sz="6" w:color="D9D9E0"/>
              <w:bottom w:val="single" w:sz="6" w:color="D9D9E0"/>
              <w:right w:val="single" w:sz="6" w:color="D9D9E0"/>
            </w:tcBorders>
            <w:shd w:val="clear" w:fill="F4F4F7"/>
          </w:tcPr>
          <w:p>
            <w:pPr>
              <w:spacing w:before="50" w:after="50"/>
            </w:pPr>
            <w:r>
              <w:rPr>
                <w:b w:val="0"/>
              </w:rPr>
              <w:t>Harness time from ticket read to reply ready; excludes queueing and delivery. The 5 escalated or blocked tickets get no automated reply (holding reply is out of scope, PRD Table 6), so their first reply comes from the human queue.</w:t>
            </w:r>
          </w:p>
        </w:tc>
      </w:tr>
      <w:tr>
        <w:tc>
          <w:tcPr>
            <w:tcW w:type="dxa" w:w="2304"/>
            <w:tcBorders>
              <w:top w:val="single" w:sz="6" w:color="D9D9E0"/>
              <w:left w:val="single" w:sz="6" w:color="D9D9E0"/>
              <w:bottom w:val="single" w:sz="6" w:color="D9D9E0"/>
              <w:right w:val="single" w:sz="6" w:color="D9D9E0"/>
            </w:tcBorders>
          </w:tcPr>
          <w:p>
            <w:pPr>
              <w:spacing w:before="50" w:after="50"/>
            </w:pPr>
            <w:r>
              <w:rPr>
                <w:sz w:val="15"/>
              </w:rPr>
              <w:t>Satisfaction proxy</w:t>
            </w:r>
          </w:p>
        </w:tc>
        <w:tc>
          <w:tcPr>
            <w:tcW w:type="dxa" w:w="1296"/>
            <w:tcBorders>
              <w:top w:val="single" w:sz="6" w:color="D9D9E0"/>
              <w:left w:val="single" w:sz="6" w:color="D9D9E0"/>
              <w:bottom w:val="single" w:sz="6" w:color="D9D9E0"/>
              <w:right w:val="single" w:sz="6" w:color="D9D9E0"/>
            </w:tcBorders>
          </w:tcPr>
          <w:p>
            <w:pPr>
              <w:spacing w:before="50" w:after="50"/>
            </w:pPr>
            <w:r>
              <w:rPr>
                <w:sz w:val="15"/>
              </w:rPr>
              <w:t>3.2 / 5</w:t>
            </w:r>
          </w:p>
        </w:tc>
        <w:tc>
          <w:tcPr>
            <w:tcW w:type="dxa" w:w="1080"/>
            <w:tcBorders>
              <w:top w:val="single" w:sz="6" w:color="D9D9E0"/>
              <w:left w:val="single" w:sz="6" w:color="D9D9E0"/>
              <w:bottom w:val="single" w:sz="6" w:color="D9D9E0"/>
              <w:right w:val="single" w:sz="6" w:color="D9D9E0"/>
            </w:tcBorders>
          </w:tcPr>
          <w:p>
            <w:pPr>
              <w:spacing w:before="50" w:after="50"/>
            </w:pPr>
            <w:r>
              <w:rPr>
                <w:sz w:val="15"/>
              </w:rPr>
              <w:t>4.0</w:t>
            </w:r>
          </w:p>
        </w:tc>
        <w:tc>
          <w:tcPr>
            <w:tcW w:type="dxa" w:w="1080"/>
            <w:tcBorders>
              <w:top w:val="single" w:sz="6" w:color="D9D9E0"/>
              <w:left w:val="single" w:sz="6" w:color="D9D9E0"/>
              <w:bottom w:val="single" w:sz="6" w:color="D9D9E0"/>
              <w:right w:val="single" w:sz="6" w:color="D9D9E0"/>
            </w:tcBorders>
          </w:tcPr>
          <w:p>
            <w:pPr>
              <w:spacing w:before="50" w:after="50"/>
            </w:pPr>
            <w:r>
              <w:rPr>
                <w:b/>
              </w:rPr>
              <w:t>Not measured — NOT MEASURED</w:t>
            </w:r>
          </w:p>
        </w:tc>
        <w:tc>
          <w:tcPr>
            <w:tcW w:type="dxa" w:w="1728"/>
            <w:tcBorders>
              <w:top w:val="single" w:sz="6" w:color="D9D9E0"/>
              <w:left w:val="single" w:sz="6" w:color="D9D9E0"/>
              <w:bottom w:val="single" w:sz="6" w:color="D9D9E0"/>
              <w:right w:val="single" w:sz="6" w:color="D9D9E0"/>
            </w:tcBorders>
          </w:tcPr>
          <w:p>
            <w:pPr>
              <w:spacing w:before="50" w:after="50"/>
            </w:pPr>
            <w:r>
              <w:rPr>
                <w:b w:val="0"/>
              </w:rPr>
              <w:t>No scored sample on this run</w:t>
            </w:r>
          </w:p>
        </w:tc>
        <w:tc>
          <w:tcPr>
            <w:tcW w:type="dxa" w:w="2160"/>
            <w:tcBorders>
              <w:top w:val="single" w:sz="6" w:color="D9D9E0"/>
              <w:left w:val="single" w:sz="6" w:color="D9D9E0"/>
              <w:bottom w:val="single" w:sz="6" w:color="D9D9E0"/>
              <w:right w:val="single" w:sz="6" w:color="D9D9E0"/>
            </w:tcBorders>
          </w:tcPr>
          <w:p>
            <w:pPr>
              <w:spacing w:before="50" w:after="50"/>
            </w:pPr>
            <w:r>
              <w:rPr>
                <w:b w:val="0"/>
              </w:rPr>
              <w:t>The Framework's method is human review of a stated sample of responses against a rubric, reporting sample size, rubric and scorers. Not done for this run. Nearest evidence: B-18, where one person scored 50 drafts from b21_openai_80_20260914 on the judge's RAG rubric (mean answer relevance 4.86/5) — a different rubric, a different run and a single scorer, so not a satisfaction proxy.</w:t>
            </w:r>
          </w:p>
        </w:tc>
      </w:tr>
      <w:tr>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t>Escalation rate</w:t>
            </w:r>
          </w:p>
        </w:tc>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5"/>
              </w:rPr>
              <w:t>58%</w:t>
            </w:r>
          </w:p>
        </w:tc>
        <w:tc>
          <w:tcPr>
            <w:tcW w:type="dxa" w:w="1080"/>
            <w:tcBorders>
              <w:top w:val="single" w:sz="6" w:color="D9D9E0"/>
              <w:left w:val="single" w:sz="6" w:color="D9D9E0"/>
              <w:bottom w:val="single" w:sz="6" w:color="D9D9E0"/>
              <w:right w:val="single" w:sz="6" w:color="D9D9E0"/>
            </w:tcBorders>
            <w:shd w:val="clear" w:fill="F4F4F7"/>
          </w:tcPr>
          <w:p>
            <w:pPr>
              <w:spacing w:before="50" w:after="50"/>
            </w:pPr>
            <w:r>
              <w:rPr>
                <w:sz w:val="15"/>
              </w:rPr>
              <w:t>≤ 30%</w:t>
            </w:r>
          </w:p>
        </w:tc>
        <w:tc>
          <w:tcPr>
            <w:tcW w:type="dxa" w:w="1080"/>
            <w:tcBorders>
              <w:top w:val="single" w:sz="6" w:color="D9D9E0"/>
              <w:left w:val="single" w:sz="6" w:color="D9D9E0"/>
              <w:bottom w:val="single" w:sz="6" w:color="D9D9E0"/>
              <w:right w:val="single" w:sz="6" w:color="D9D9E0"/>
            </w:tcBorders>
            <w:shd w:val="clear" w:fill="F4F4F7"/>
          </w:tcPr>
          <w:p>
            <w:pPr>
              <w:spacing w:before="50" w:after="50"/>
            </w:pPr>
            <w:r>
              <w:rPr>
                <w:b/>
              </w:rPr>
              <w:t>50.0% — NOT MET</w:t>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b w:val="0"/>
              </w:rPr>
              <w:t>95% CI 24-76% (n=10)</w:t>
            </w:r>
          </w:p>
        </w:tc>
        <w:tc>
          <w:tcPr>
            <w:tcW w:type="dxa" w:w="2160"/>
            <w:tcBorders>
              <w:top w:val="single" w:sz="6" w:color="D9D9E0"/>
              <w:left w:val="single" w:sz="6" w:color="D9D9E0"/>
              <w:bottom w:val="single" w:sz="6" w:color="D9D9E0"/>
              <w:right w:val="single" w:sz="6" w:color="D9D9E0"/>
            </w:tcBorders>
            <w:shd w:val="clear" w:fill="F4F4F7"/>
          </w:tcPr>
          <w:p>
            <w:pPr>
              <w:spacing w:before="50" w:after="50"/>
            </w:pPr>
            <w:r>
              <w:rPr>
                <w:b w:val="0"/>
              </w:rPr>
              <w:t>3 escalated by routing and 2 blocked by a guardrail; 0 tickets were blocked because a check could not run (fail-safe), not because it found a fault.</w:t>
            </w:r>
          </w:p>
        </w:tc>
      </w:tr>
      <w:tr>
        <w:tc>
          <w:tcPr>
            <w:tcW w:type="dxa" w:w="2304"/>
            <w:tcBorders>
              <w:top w:val="single" w:sz="6" w:color="D9D9E0"/>
              <w:left w:val="single" w:sz="6" w:color="D9D9E0"/>
              <w:bottom w:val="single" w:sz="6" w:color="D9D9E0"/>
              <w:right w:val="single" w:sz="6" w:color="D9D9E0"/>
            </w:tcBorders>
          </w:tcPr>
          <w:p>
            <w:pPr>
              <w:spacing w:before="50" w:after="50"/>
            </w:pPr>
            <w:r>
              <w:rPr>
                <w:sz w:val="15"/>
              </w:rPr>
              <w:t>Classification precision</w:t>
            </w:r>
          </w:p>
        </w:tc>
        <w:tc>
          <w:tcPr>
            <w:tcW w:type="dxa" w:w="1296"/>
            <w:tcBorders>
              <w:top w:val="single" w:sz="6" w:color="D9D9E0"/>
              <w:left w:val="single" w:sz="6" w:color="D9D9E0"/>
              <w:bottom w:val="single" w:sz="6" w:color="D9D9E0"/>
              <w:right w:val="single" w:sz="6" w:color="D9D9E0"/>
            </w:tcBorders>
          </w:tcPr>
          <w:p>
            <w:pPr>
              <w:spacing w:before="50" w:after="50"/>
            </w:pPr>
            <w:r>
              <w:rPr>
                <w:sz w:val="15"/>
              </w:rPr>
              <w:t>—</w:t>
            </w:r>
          </w:p>
        </w:tc>
        <w:tc>
          <w:tcPr>
            <w:tcW w:type="dxa" w:w="1080"/>
            <w:tcBorders>
              <w:top w:val="single" w:sz="6" w:color="D9D9E0"/>
              <w:left w:val="single" w:sz="6" w:color="D9D9E0"/>
              <w:bottom w:val="single" w:sz="6" w:color="D9D9E0"/>
              <w:right w:val="single" w:sz="6" w:color="D9D9E0"/>
            </w:tcBorders>
          </w:tcPr>
          <w:p>
            <w:pPr>
              <w:spacing w:before="50" w:after="50"/>
            </w:pPr>
            <w:r>
              <w:rPr>
                <w:sz w:val="15"/>
              </w:rPr>
              <w:t>85%</w:t>
            </w:r>
          </w:p>
        </w:tc>
        <w:tc>
          <w:tcPr>
            <w:tcW w:type="dxa" w:w="1080"/>
            <w:tcBorders>
              <w:top w:val="single" w:sz="6" w:color="D9D9E0"/>
              <w:left w:val="single" w:sz="6" w:color="D9D9E0"/>
              <w:bottom w:val="single" w:sz="6" w:color="D9D9E0"/>
              <w:right w:val="single" w:sz="6" w:color="D9D9E0"/>
            </w:tcBorders>
          </w:tcPr>
          <w:p>
            <w:pPr>
              <w:spacing w:before="50" w:after="50"/>
            </w:pPr>
            <w:r>
              <w:rPr>
                <w:b/>
              </w:rPr>
              <w:t>71.4% mean over 7 classes; 5 of 7 at ≥85% — NOT MET</w:t>
            </w:r>
          </w:p>
        </w:tc>
        <w:tc>
          <w:tcPr>
            <w:tcW w:type="dxa" w:w="1728"/>
            <w:tcBorders>
              <w:top w:val="single" w:sz="6" w:color="D9D9E0"/>
              <w:left w:val="single" w:sz="6" w:color="D9D9E0"/>
              <w:bottom w:val="single" w:sz="6" w:color="D9D9E0"/>
              <w:right w:val="single" w:sz="6" w:color="D9D9E0"/>
            </w:tcBorders>
          </w:tcPr>
          <w:p>
            <w:pPr>
              <w:spacing w:before="50" w:after="50"/>
            </w:pPr>
            <w:r>
              <w:rPr>
                <w:b w:val="0"/>
              </w:rPr>
              <w:t>Per-class n: median 1; 7 classes have fewer than 5 tickets, so per-class figures are indicative only</w:t>
            </w:r>
          </w:p>
        </w:tc>
        <w:tc>
          <w:tcPr>
            <w:tcW w:type="dxa" w:w="2160"/>
            <w:tcBorders>
              <w:top w:val="single" w:sz="6" w:color="D9D9E0"/>
              <w:left w:val="single" w:sz="6" w:color="D9D9E0"/>
              <w:bottom w:val="single" w:sz="6" w:color="D9D9E0"/>
              <w:right w:val="single" w:sz="6" w:color="D9D9E0"/>
            </w:tcBorders>
          </w:tcPr>
          <w:p>
            <w:pPr>
              <w:spacing w:before="50" w:after="50"/>
            </w:pPr>
            <w:r>
              <w:rPr>
                <w:b w:val="0"/>
              </w:rPr>
              <w:t>Weakest: account_access 0% (n=1); api_usage_question 0% (n=1); api_key_issue 100% (n=1). Overall intent accuracy 80.0%. The target is per class, so it is met only if every class reaches 85%.</w:t>
            </w:r>
          </w:p>
        </w:tc>
      </w:tr>
      <w:tr>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t>Hallucination rate</w:t>
            </w:r>
          </w:p>
        </w:tc>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5"/>
              </w:rPr>
              <w:t>—</w:t>
            </w:r>
          </w:p>
        </w:tc>
        <w:tc>
          <w:tcPr>
            <w:tcW w:type="dxa" w:w="1080"/>
            <w:tcBorders>
              <w:top w:val="single" w:sz="6" w:color="D9D9E0"/>
              <w:left w:val="single" w:sz="6" w:color="D9D9E0"/>
              <w:bottom w:val="single" w:sz="6" w:color="D9D9E0"/>
              <w:right w:val="single" w:sz="6" w:color="D9D9E0"/>
            </w:tcBorders>
            <w:shd w:val="clear" w:fill="F4F4F7"/>
          </w:tcPr>
          <w:p>
            <w:pPr>
              <w:spacing w:before="50" w:after="50"/>
            </w:pPr>
            <w:r>
              <w:rPr>
                <w:sz w:val="15"/>
              </w:rPr>
              <w:t>≤ 5%</w:t>
            </w:r>
          </w:p>
        </w:tc>
        <w:tc>
          <w:tcPr>
            <w:tcW w:type="dxa" w:w="1080"/>
            <w:tcBorders>
              <w:top w:val="single" w:sz="6" w:color="D9D9E0"/>
              <w:left w:val="single" w:sz="6" w:color="D9D9E0"/>
              <w:bottom w:val="single" w:sz="6" w:color="D9D9E0"/>
              <w:right w:val="single" w:sz="6" w:color="D9D9E0"/>
            </w:tcBorders>
            <w:shd w:val="clear" w:fill="F4F4F7"/>
          </w:tcPr>
          <w:p>
            <w:pPr>
              <w:spacing w:before="50" w:after="50"/>
            </w:pPr>
            <w:r>
              <w:rPr>
                <w:b/>
              </w:rPr>
              <w:t>Not measured to method — NOT MEASURED</w:t>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b w:val="0"/>
              </w:rPr>
              <w:t>—</w:t>
            </w:r>
          </w:p>
        </w:tc>
        <w:tc>
          <w:tcPr>
            <w:tcW w:type="dxa" w:w="2160"/>
            <w:tcBorders>
              <w:top w:val="single" w:sz="6" w:color="D9D9E0"/>
              <w:left w:val="single" w:sz="6" w:color="D9D9E0"/>
              <w:bottom w:val="single" w:sz="6" w:color="D9D9E0"/>
              <w:right w:val="single" w:sz="6" w:color="D9D9E0"/>
            </w:tcBorders>
            <w:shd w:val="clear" w:fill="F4F4F7"/>
          </w:tcPr>
          <w:p>
            <w:pPr>
              <w:spacing w:before="50" w:after="50"/>
            </w:pPr>
            <w:r>
              <w:rPr>
                <w:b w:val="0"/>
              </w:rPr>
              <w:t>The Framework requires at least fifty responses assessed independently by two people, with their agreement reported. This project had one human assessor. Nearest evidence (B-18, drafts from b21_openai_80_20260914): one human found an unsupported claim in 1 of 50 drafts; the LLM judge in 5 of 50; the judge failed calibration (pooled Spearman 0.3492 against 0.70).</w:t>
            </w:r>
          </w:p>
        </w:tc>
      </w:tr>
      <w:tr>
        <w:tc>
          <w:tcPr>
            <w:tcW w:type="dxa" w:w="2304"/>
            <w:tcBorders>
              <w:top w:val="single" w:sz="6" w:color="D9D9E0"/>
              <w:left w:val="single" w:sz="6" w:color="D9D9E0"/>
              <w:bottom w:val="single" w:sz="6" w:color="D9D9E0"/>
              <w:right w:val="single" w:sz="6" w:color="D9D9E0"/>
            </w:tcBorders>
          </w:tcPr>
          <w:p>
            <w:pPr>
              <w:spacing w:before="50" w:after="50"/>
            </w:pPr>
            <w:r>
              <w:rPr>
                <w:sz w:val="15"/>
              </w:rPr>
              <w:t>Citation accuracy</w:t>
            </w:r>
          </w:p>
        </w:tc>
        <w:tc>
          <w:tcPr>
            <w:tcW w:type="dxa" w:w="1296"/>
            <w:tcBorders>
              <w:top w:val="single" w:sz="6" w:color="D9D9E0"/>
              <w:left w:val="single" w:sz="6" w:color="D9D9E0"/>
              <w:bottom w:val="single" w:sz="6" w:color="D9D9E0"/>
              <w:right w:val="single" w:sz="6" w:color="D9D9E0"/>
            </w:tcBorders>
          </w:tcPr>
          <w:p>
            <w:pPr>
              <w:spacing w:before="50" w:after="50"/>
            </w:pPr>
            <w:r>
              <w:rPr>
                <w:sz w:val="15"/>
              </w:rPr>
              <w:t>—</w:t>
            </w:r>
          </w:p>
        </w:tc>
        <w:tc>
          <w:tcPr>
            <w:tcW w:type="dxa" w:w="1080"/>
            <w:tcBorders>
              <w:top w:val="single" w:sz="6" w:color="D9D9E0"/>
              <w:left w:val="single" w:sz="6" w:color="D9D9E0"/>
              <w:bottom w:val="single" w:sz="6" w:color="D9D9E0"/>
              <w:right w:val="single" w:sz="6" w:color="D9D9E0"/>
            </w:tcBorders>
          </w:tcPr>
          <w:p>
            <w:pPr>
              <w:spacing w:before="50" w:after="50"/>
            </w:pPr>
            <w:r>
              <w:rPr>
                <w:sz w:val="15"/>
              </w:rPr>
              <w:t>95%</w:t>
            </w:r>
          </w:p>
        </w:tc>
        <w:tc>
          <w:tcPr>
            <w:tcW w:type="dxa" w:w="1080"/>
            <w:tcBorders>
              <w:top w:val="single" w:sz="6" w:color="D9D9E0"/>
              <w:left w:val="single" w:sz="6" w:color="D9D9E0"/>
              <w:bottom w:val="single" w:sz="6" w:color="D9D9E0"/>
              <w:right w:val="single" w:sz="6" w:color="D9D9E0"/>
            </w:tcBorders>
          </w:tcPr>
          <w:p>
            <w:pPr>
              <w:spacing w:before="50" w:after="50"/>
            </w:pPr>
            <w:r>
              <w:rPr>
                <w:b/>
              </w:rPr>
              <w:t>Not measured to method — NOT MEASURED</w:t>
            </w:r>
          </w:p>
        </w:tc>
        <w:tc>
          <w:tcPr>
            <w:tcW w:type="dxa" w:w="1728"/>
            <w:tcBorders>
              <w:top w:val="single" w:sz="6" w:color="D9D9E0"/>
              <w:left w:val="single" w:sz="6" w:color="D9D9E0"/>
              <w:bottom w:val="single" w:sz="6" w:color="D9D9E0"/>
              <w:right w:val="single" w:sz="6" w:color="D9D9E0"/>
            </w:tcBorders>
          </w:tcPr>
          <w:p>
            <w:pPr>
              <w:spacing w:before="50" w:after="50"/>
            </w:pPr>
            <w:r>
              <w:rPr>
                <w:b w:val="0"/>
              </w:rPr>
              <w:t>—</w:t>
            </w:r>
          </w:p>
        </w:tc>
        <w:tc>
          <w:tcPr>
            <w:tcW w:type="dxa" w:w="2160"/>
            <w:tcBorders>
              <w:top w:val="single" w:sz="6" w:color="D9D9E0"/>
              <w:left w:val="single" w:sz="6" w:color="D9D9E0"/>
              <w:bottom w:val="single" w:sz="6" w:color="D9D9E0"/>
              <w:right w:val="single" w:sz="6" w:color="D9D9E0"/>
            </w:tcBorders>
          </w:tcPr>
          <w:p>
            <w:pPr>
              <w:spacing w:before="50" w:after="50"/>
            </w:pPr>
            <w:r>
              <w:rPr>
                <w:b w:val="0"/>
              </w:rPr>
              <w:t>The Framework checks each citation against the sentence it is attached to. Sentence-level support was not assessed. Nearest evidence: the cited ARTICLE was one the labels expect in 100.0% of citations over 6 drafts (recall 83.3%) — a check of the right source, not of support.</w:t>
            </w:r>
          </w:p>
        </w:tc>
      </w:tr>
      <w:tr>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t>Latency p95</w:t>
            </w:r>
          </w:p>
        </w:tc>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5"/>
              </w:rPr>
              <w:t>—</w:t>
            </w:r>
          </w:p>
        </w:tc>
        <w:tc>
          <w:tcPr>
            <w:tcW w:type="dxa" w:w="1080"/>
            <w:tcBorders>
              <w:top w:val="single" w:sz="6" w:color="D9D9E0"/>
              <w:left w:val="single" w:sz="6" w:color="D9D9E0"/>
              <w:bottom w:val="single" w:sz="6" w:color="D9D9E0"/>
              <w:right w:val="single" w:sz="6" w:color="D9D9E0"/>
            </w:tcBorders>
            <w:shd w:val="clear" w:fill="F4F4F7"/>
          </w:tcPr>
          <w:p>
            <w:pPr>
              <w:spacing w:before="50" w:after="50"/>
            </w:pPr>
            <w:r>
              <w:rPr>
                <w:sz w:val="15"/>
              </w:rPr>
              <w:t>&lt; 3 s</w:t>
            </w:r>
          </w:p>
        </w:tc>
        <w:tc>
          <w:tcPr>
            <w:tcW w:type="dxa" w:w="1080"/>
            <w:tcBorders>
              <w:top w:val="single" w:sz="6" w:color="D9D9E0"/>
              <w:left w:val="single" w:sz="6" w:color="D9D9E0"/>
              <w:bottom w:val="single" w:sz="6" w:color="D9D9E0"/>
              <w:right w:val="single" w:sz="6" w:color="D9D9E0"/>
            </w:tcBorders>
            <w:shd w:val="clear" w:fill="F4F4F7"/>
          </w:tcPr>
          <w:p>
            <w:pPr>
              <w:spacing w:before="50" w:after="50"/>
            </w:pPr>
            <w:r>
              <w:rPr>
                <w:b/>
              </w:rPr>
              <w:t>85.6 s — NOT MET</w:t>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b w:val="0"/>
              </w:rPr>
              <w:t>n=10 live tickets; max 85.6 s</w:t>
            </w:r>
          </w:p>
        </w:tc>
        <w:tc>
          <w:tcPr>
            <w:tcW w:type="dxa" w:w="2160"/>
            <w:tcBorders>
              <w:top w:val="single" w:sz="6" w:color="D9D9E0"/>
              <w:left w:val="single" w:sz="6" w:color="D9D9E0"/>
              <w:bottom w:val="single" w:sz="6" w:color="D9D9E0"/>
              <w:right w:val="single" w:sz="6" w:color="D9D9E0"/>
            </w:tcBorders>
            <w:shd w:val="clear" w:fill="F4F4F7"/>
          </w:tcPr>
          <w:p>
            <w:pPr>
              <w:spacing w:before="50" w:after="50"/>
            </w:pPr>
            <w:r>
              <w:rPr>
                <w:b w:val="0"/>
              </w:rPr>
              <w:t>End to end per ticket, including retrieval and every model call, run in sequence. Models: llama3.1-8b-ctx8k drafting, qwen2.5-7b-ctx8k guardrails.</w:t>
            </w:r>
          </w:p>
        </w:tc>
      </w:tr>
      <w:tr>
        <w:tc>
          <w:tcPr>
            <w:tcW w:type="dxa" w:w="2304"/>
            <w:tcBorders>
              <w:top w:val="single" w:sz="6" w:color="D9D9E0"/>
              <w:left w:val="single" w:sz="6" w:color="D9D9E0"/>
              <w:bottom w:val="single" w:sz="6" w:color="D9D9E0"/>
              <w:right w:val="single" w:sz="6" w:color="D9D9E0"/>
            </w:tcBorders>
          </w:tcPr>
          <w:p>
            <w:pPr>
              <w:spacing w:before="50" w:after="50"/>
            </w:pPr>
            <w:r>
              <w:rPr>
                <w:sz w:val="15"/>
              </w:rPr>
              <w:t>Private data occurrences</w:t>
            </w:r>
          </w:p>
        </w:tc>
        <w:tc>
          <w:tcPr>
            <w:tcW w:type="dxa" w:w="1296"/>
            <w:tcBorders>
              <w:top w:val="single" w:sz="6" w:color="D9D9E0"/>
              <w:left w:val="single" w:sz="6" w:color="D9D9E0"/>
              <w:bottom w:val="single" w:sz="6" w:color="D9D9E0"/>
              <w:right w:val="single" w:sz="6" w:color="D9D9E0"/>
            </w:tcBorders>
          </w:tcPr>
          <w:p>
            <w:pPr>
              <w:spacing w:before="50" w:after="50"/>
            </w:pPr>
            <w:r>
              <w:rPr>
                <w:sz w:val="15"/>
              </w:rPr>
              <w:t>—</w:t>
            </w:r>
          </w:p>
        </w:tc>
        <w:tc>
          <w:tcPr>
            <w:tcW w:type="dxa" w:w="1080"/>
            <w:tcBorders>
              <w:top w:val="single" w:sz="6" w:color="D9D9E0"/>
              <w:left w:val="single" w:sz="6" w:color="D9D9E0"/>
              <w:bottom w:val="single" w:sz="6" w:color="D9D9E0"/>
              <w:right w:val="single" w:sz="6" w:color="D9D9E0"/>
            </w:tcBorders>
          </w:tcPr>
          <w:p>
            <w:pPr>
              <w:spacing w:before="50" w:after="50"/>
            </w:pPr>
            <w:r>
              <w:rPr>
                <w:sz w:val="15"/>
              </w:rPr>
              <w:t>0</w:t>
            </w:r>
          </w:p>
        </w:tc>
        <w:tc>
          <w:tcPr>
            <w:tcW w:type="dxa" w:w="1080"/>
            <w:tcBorders>
              <w:top w:val="single" w:sz="6" w:color="D9D9E0"/>
              <w:left w:val="single" w:sz="6" w:color="D9D9E0"/>
              <w:bottom w:val="single" w:sz="6" w:color="D9D9E0"/>
              <w:right w:val="single" w:sz="6" w:color="D9D9E0"/>
            </w:tcBorders>
          </w:tcPr>
          <w:p>
            <w:pPr>
              <w:spacing w:before="50" w:after="50"/>
            </w:pPr>
            <w:r>
              <w:rPr>
                <w:b w:val="0"/>
              </w:rPr>
              <w:t>0 — MET</w:t>
            </w:r>
          </w:p>
        </w:tc>
        <w:tc>
          <w:tcPr>
            <w:tcW w:type="dxa" w:w="1728"/>
            <w:tcBorders>
              <w:top w:val="single" w:sz="6" w:color="D9D9E0"/>
              <w:left w:val="single" w:sz="6" w:color="D9D9E0"/>
              <w:bottom w:val="single" w:sz="6" w:color="D9D9E0"/>
              <w:right w:val="single" w:sz="6" w:color="D9D9E0"/>
            </w:tcBorders>
          </w:tcPr>
          <w:p>
            <w:pPr>
              <w:spacing w:before="50" w:after="50"/>
            </w:pPr>
            <w:r>
              <w:rPr>
                <w:b w:val="0"/>
              </w:rPr>
              <w:t>Automated scan of all 5 sent replies; manual sample review: not done</w:t>
            </w:r>
          </w:p>
        </w:tc>
        <w:tc>
          <w:tcPr>
            <w:tcW w:type="dxa" w:w="2160"/>
            <w:tcBorders>
              <w:top w:val="single" w:sz="6" w:color="D9D9E0"/>
              <w:left w:val="single" w:sz="6" w:color="D9D9E0"/>
              <w:bottom w:val="single" w:sz="6" w:color="D9D9E0"/>
              <w:right w:val="single" w:sz="6" w:color="D9D9E0"/>
            </w:tcBorders>
          </w:tcPr>
          <w:p>
            <w:pPr>
              <w:spacing w:before="50" w:after="50"/>
            </w:pPr>
            <w:r>
              <w:rPr>
                <w:b w:val="0"/>
              </w:rPr>
              <w:t>The scan uses the PII guardrail's own patterns (email, API key, phone, account number), independently of the judge's verdict. The guardrail blocked 0 drafts for private data before sending.</w:t>
            </w:r>
          </w:p>
        </w:tc>
      </w:tr>
      <w:tr>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t>Cross-group variation</w:t>
            </w:r>
          </w:p>
        </w:tc>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5"/>
              </w:rPr>
              <w:t>—</w:t>
            </w:r>
          </w:p>
        </w:tc>
        <w:tc>
          <w:tcPr>
            <w:tcW w:type="dxa" w:w="1080"/>
            <w:tcBorders>
              <w:top w:val="single" w:sz="6" w:color="D9D9E0"/>
              <w:left w:val="single" w:sz="6" w:color="D9D9E0"/>
              <w:bottom w:val="single" w:sz="6" w:color="D9D9E0"/>
              <w:right w:val="single" w:sz="6" w:color="D9D9E0"/>
            </w:tcBorders>
            <w:shd w:val="clear" w:fill="F4F4F7"/>
          </w:tcPr>
          <w:p>
            <w:pPr>
              <w:spacing w:before="50" w:after="50"/>
            </w:pPr>
            <w:r>
              <w:rPr>
                <w:sz w:val="15"/>
              </w:rPr>
              <w:t>&lt; 5 pts</w:t>
            </w:r>
          </w:p>
        </w:tc>
        <w:tc>
          <w:tcPr>
            <w:tcW w:type="dxa" w:w="1080"/>
            <w:tcBorders>
              <w:top w:val="single" w:sz="6" w:color="D9D9E0"/>
              <w:left w:val="single" w:sz="6" w:color="D9D9E0"/>
              <w:bottom w:val="single" w:sz="6" w:color="D9D9E0"/>
              <w:right w:val="single" w:sz="6" w:color="D9D9E0"/>
            </w:tcBorders>
            <w:shd w:val="clear" w:fill="F4F4F7"/>
          </w:tcPr>
          <w:p>
            <w:pPr>
              <w:spacing w:before="50" w:after="50"/>
            </w:pPr>
            <w:r>
              <w:rPr>
                <w:b/>
              </w:rPr>
              <w:t>Not measured — NOT MEASURED</w:t>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b w:val="0"/>
              </w:rPr>
              <w:t>Every segment under n=10</w:t>
            </w:r>
          </w:p>
        </w:tc>
        <w:tc>
          <w:tcPr>
            <w:tcW w:type="dxa" w:w="2160"/>
            <w:tcBorders>
              <w:top w:val="single" w:sz="6" w:color="D9D9E0"/>
              <w:left w:val="single" w:sz="6" w:color="D9D9E0"/>
              <w:bottom w:val="single" w:sz="6" w:color="D9D9E0"/>
              <w:right w:val="single" w:sz="6" w:color="D9D9E0"/>
            </w:tcBorders>
            <w:shd w:val="clear" w:fill="F4F4F7"/>
          </w:tcPr>
          <w:p>
            <w:pPr>
              <w:spacing w:before="50" w:after="50"/>
            </w:pPr>
            <w:r>
              <w:rPr>
                <w:b w:val="0"/>
              </w:rPr>
              <w:t>No segment reached the audit's minimum size.</w:t>
            </w:r>
          </w:p>
        </w:tc>
      </w:tr>
    </w:tbl>
    <w:p>
      <w:pPr>
        <w:pStyle w:val="Heading3"/>
      </w:pPr>
      <w:r>
        <w:t>Results — paid OpenAI configuration (comparison)</w:t>
      </w:r>
    </w:p>
    <w:p>
      <w:r>
        <w:t>Run harness-20260920T133455Z-5a0eff3d (2026-09-20 UTC), 10 tickets, code 2db514c + uncommitted changes. Drafting gpt-4o-mini; guardrails gpt-4o. Confidence threshold 0.85; guardrails on; model cache off (48 live calls, 0 replayed). Runs against the hidden evaluation set: 0. Cost of the run: $0.1237 (72,565 tokens in, 2,538 out).</w:t>
      </w:r>
    </w:p>
    <w:tbl>
      <w:tblPr>
        <w:tblW w:type="auto" w:w="0"/>
        <w:jc w:val="center"/>
        <w:tblLayout w:type="fixed"/>
        <w:tblLook w:firstColumn="1" w:firstRow="1" w:lastColumn="0" w:lastRow="0" w:noHBand="0" w:noVBand="1" w:val="04A0"/>
      </w:tblPr>
      <w:tblGrid>
        <w:gridCol w:w="1608"/>
        <w:gridCol w:w="1608"/>
        <w:gridCol w:w="1608"/>
        <w:gridCol w:w="1608"/>
        <w:gridCol w:w="1608"/>
        <w:gridCol w:w="1608"/>
      </w:tblGrid>
      <w:tr>
        <w:tc>
          <w:tcPr>
            <w:tcW w:type="dxa" w:w="230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Measure</w:t>
            </w:r>
          </w:p>
        </w:tc>
        <w:tc>
          <w:tcPr>
            <w:tcW w:type="dxa" w:w="1296"/>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Baseline</w:t>
            </w:r>
          </w:p>
        </w:tc>
        <w:tc>
          <w:tcPr>
            <w:tcW w:type="dxa" w:w="1080"/>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Target</w:t>
            </w:r>
          </w:p>
        </w:tc>
        <w:tc>
          <w:tcPr>
            <w:tcW w:type="dxa" w:w="1080"/>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Achieved</w:t>
            </w:r>
          </w:p>
        </w:tc>
        <w:tc>
          <w:tcPr>
            <w:tcW w:type="dxa" w:w="1728"/>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Confidence in the figure</w:t>
            </w:r>
          </w:p>
        </w:tc>
        <w:tc>
          <w:tcPr>
            <w:tcW w:type="dxa" w:w="2160"/>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Notes</w:t>
            </w:r>
          </w:p>
        </w:tc>
      </w:tr>
      <w:tr>
        <w:tc>
          <w:tcPr>
            <w:tcW w:type="dxa" w:w="2304"/>
            <w:tcBorders>
              <w:top w:val="single" w:sz="6" w:color="D9D9E0"/>
              <w:left w:val="single" w:sz="6" w:color="D9D9E0"/>
              <w:bottom w:val="single" w:sz="6" w:color="D9D9E0"/>
              <w:right w:val="single" w:sz="6" w:color="D9D9E0"/>
            </w:tcBorders>
          </w:tcPr>
          <w:p>
            <w:pPr>
              <w:spacing w:before="50" w:after="50"/>
            </w:pPr>
            <w:r>
              <w:rPr>
                <w:sz w:val="15"/>
              </w:rPr>
              <w:t>First contact resolution</w:t>
            </w:r>
          </w:p>
        </w:tc>
        <w:tc>
          <w:tcPr>
            <w:tcW w:type="dxa" w:w="1296"/>
            <w:tcBorders>
              <w:top w:val="single" w:sz="6" w:color="D9D9E0"/>
              <w:left w:val="single" w:sz="6" w:color="D9D9E0"/>
              <w:bottom w:val="single" w:sz="6" w:color="D9D9E0"/>
              <w:right w:val="single" w:sz="6" w:color="D9D9E0"/>
            </w:tcBorders>
          </w:tcPr>
          <w:p>
            <w:pPr>
              <w:spacing w:before="50" w:after="50"/>
            </w:pPr>
            <w:r>
              <w:rPr>
                <w:sz w:val="15"/>
              </w:rPr>
              <w:t>42%</w:t>
            </w:r>
          </w:p>
        </w:tc>
        <w:tc>
          <w:tcPr>
            <w:tcW w:type="dxa" w:w="1080"/>
            <w:tcBorders>
              <w:top w:val="single" w:sz="6" w:color="D9D9E0"/>
              <w:left w:val="single" w:sz="6" w:color="D9D9E0"/>
              <w:bottom w:val="single" w:sz="6" w:color="D9D9E0"/>
              <w:right w:val="single" w:sz="6" w:color="D9D9E0"/>
            </w:tcBorders>
          </w:tcPr>
          <w:p>
            <w:pPr>
              <w:spacing w:before="50" w:after="50"/>
            </w:pPr>
            <w:r>
              <w:rPr>
                <w:sz w:val="15"/>
              </w:rPr>
              <w:t>60%</w:t>
            </w:r>
          </w:p>
        </w:tc>
        <w:tc>
          <w:tcPr>
            <w:tcW w:type="dxa" w:w="1080"/>
            <w:tcBorders>
              <w:top w:val="single" w:sz="6" w:color="D9D9E0"/>
              <w:left w:val="single" w:sz="6" w:color="D9D9E0"/>
              <w:bottom w:val="single" w:sz="6" w:color="D9D9E0"/>
              <w:right w:val="single" w:sz="6" w:color="D9D9E0"/>
            </w:tcBorders>
          </w:tcPr>
          <w:p>
            <w:pPr>
              <w:spacing w:before="50" w:after="50"/>
            </w:pPr>
            <w:r>
              <w:rPr>
                <w:b/>
              </w:rPr>
              <w:t>40.0% correctly resolved (50.0% auto-sent) — NOT MET</w:t>
            </w:r>
          </w:p>
        </w:tc>
        <w:tc>
          <w:tcPr>
            <w:tcW w:type="dxa" w:w="1728"/>
            <w:tcBorders>
              <w:top w:val="single" w:sz="6" w:color="D9D9E0"/>
              <w:left w:val="single" w:sz="6" w:color="D9D9E0"/>
              <w:bottom w:val="single" w:sz="6" w:color="D9D9E0"/>
              <w:right w:val="single" w:sz="6" w:color="D9D9E0"/>
            </w:tcBorders>
          </w:tcPr>
          <w:p>
            <w:pPr>
              <w:spacing w:before="50" w:after="50"/>
            </w:pPr>
            <w:r>
              <w:rPr>
                <w:b w:val="0"/>
              </w:rPr>
              <w:t>95% CI 17-69% (n=10)</w:t>
            </w:r>
          </w:p>
        </w:tc>
        <w:tc>
          <w:tcPr>
            <w:tcW w:type="dxa" w:w="2160"/>
            <w:tcBorders>
              <w:top w:val="single" w:sz="6" w:color="D9D9E0"/>
              <w:left w:val="single" w:sz="6" w:color="D9D9E0"/>
              <w:bottom w:val="single" w:sz="6" w:color="D9D9E0"/>
              <w:right w:val="single" w:sz="6" w:color="D9D9E0"/>
            </w:tcBorders>
          </w:tcPr>
          <w:p>
            <w:pPr>
              <w:spacing w:before="50" w:after="50"/>
            </w:pPr>
            <w:r>
              <w:rPr>
                <w:b w:val="0"/>
              </w:rPr>
              <w:t>1 of 5 sent replies went to tickets the labels say must be held, so they are not counted as resolved: a wrong answer returns as a repeat contact. Correctness is agreement with labels.expected_route, not a check of reply quality.</w:t>
            </w:r>
          </w:p>
        </w:tc>
      </w:tr>
      <w:tr>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t>Mean time to first reply</w:t>
            </w:r>
          </w:p>
        </w:tc>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5"/>
              </w:rPr>
              <w:t>8 to 12 hrs</w:t>
            </w:r>
          </w:p>
        </w:tc>
        <w:tc>
          <w:tcPr>
            <w:tcW w:type="dxa" w:w="1080"/>
            <w:tcBorders>
              <w:top w:val="single" w:sz="6" w:color="D9D9E0"/>
              <w:left w:val="single" w:sz="6" w:color="D9D9E0"/>
              <w:bottom w:val="single" w:sz="6" w:color="D9D9E0"/>
              <w:right w:val="single" w:sz="6" w:color="D9D9E0"/>
            </w:tcBorders>
            <w:shd w:val="clear" w:fill="F4F4F7"/>
          </w:tcPr>
          <w:p>
            <w:pPr>
              <w:spacing w:before="50" w:after="50"/>
            </w:pPr>
            <w:r>
              <w:rPr>
                <w:sz w:val="15"/>
              </w:rPr>
              <w:t>&lt; 5 min</w:t>
            </w:r>
          </w:p>
        </w:tc>
        <w:tc>
          <w:tcPr>
            <w:tcW w:type="dxa" w:w="1080"/>
            <w:tcBorders>
              <w:top w:val="single" w:sz="6" w:color="D9D9E0"/>
              <w:left w:val="single" w:sz="6" w:color="D9D9E0"/>
              <w:bottom w:val="single" w:sz="6" w:color="D9D9E0"/>
              <w:right w:val="single" w:sz="6" w:color="D9D9E0"/>
            </w:tcBorders>
            <w:shd w:val="clear" w:fill="F4F4F7"/>
          </w:tcPr>
          <w:p>
            <w:pPr>
              <w:spacing w:before="50" w:after="50"/>
            </w:pPr>
            <w:r>
              <w:rPr>
                <w:b w:val="0"/>
              </w:rPr>
              <w:t>8.5 s — MET</w:t>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b w:val="0"/>
              </w:rPr>
              <w:t>n=5 auto-sent tickets; median 4.9 s</w:t>
            </w:r>
          </w:p>
        </w:tc>
        <w:tc>
          <w:tcPr>
            <w:tcW w:type="dxa" w:w="2160"/>
            <w:tcBorders>
              <w:top w:val="single" w:sz="6" w:color="D9D9E0"/>
              <w:left w:val="single" w:sz="6" w:color="D9D9E0"/>
              <w:bottom w:val="single" w:sz="6" w:color="D9D9E0"/>
              <w:right w:val="single" w:sz="6" w:color="D9D9E0"/>
            </w:tcBorders>
            <w:shd w:val="clear" w:fill="F4F4F7"/>
          </w:tcPr>
          <w:p>
            <w:pPr>
              <w:spacing w:before="50" w:after="50"/>
            </w:pPr>
            <w:r>
              <w:rPr>
                <w:b w:val="0"/>
              </w:rPr>
              <w:t>Harness time from ticket read to reply ready; excludes queueing and delivery. The 5 escalated or blocked tickets get no automated reply (holding reply is out of scope, PRD Table 6), so their first reply comes from the human queue.</w:t>
            </w:r>
          </w:p>
        </w:tc>
      </w:tr>
      <w:tr>
        <w:tc>
          <w:tcPr>
            <w:tcW w:type="dxa" w:w="2304"/>
            <w:tcBorders>
              <w:top w:val="single" w:sz="6" w:color="D9D9E0"/>
              <w:left w:val="single" w:sz="6" w:color="D9D9E0"/>
              <w:bottom w:val="single" w:sz="6" w:color="D9D9E0"/>
              <w:right w:val="single" w:sz="6" w:color="D9D9E0"/>
            </w:tcBorders>
          </w:tcPr>
          <w:p>
            <w:pPr>
              <w:spacing w:before="50" w:after="50"/>
            </w:pPr>
            <w:r>
              <w:rPr>
                <w:sz w:val="15"/>
              </w:rPr>
              <w:t>Satisfaction proxy</w:t>
            </w:r>
          </w:p>
        </w:tc>
        <w:tc>
          <w:tcPr>
            <w:tcW w:type="dxa" w:w="1296"/>
            <w:tcBorders>
              <w:top w:val="single" w:sz="6" w:color="D9D9E0"/>
              <w:left w:val="single" w:sz="6" w:color="D9D9E0"/>
              <w:bottom w:val="single" w:sz="6" w:color="D9D9E0"/>
              <w:right w:val="single" w:sz="6" w:color="D9D9E0"/>
            </w:tcBorders>
          </w:tcPr>
          <w:p>
            <w:pPr>
              <w:spacing w:before="50" w:after="50"/>
            </w:pPr>
            <w:r>
              <w:rPr>
                <w:sz w:val="15"/>
              </w:rPr>
              <w:t>3.2 / 5</w:t>
            </w:r>
          </w:p>
        </w:tc>
        <w:tc>
          <w:tcPr>
            <w:tcW w:type="dxa" w:w="1080"/>
            <w:tcBorders>
              <w:top w:val="single" w:sz="6" w:color="D9D9E0"/>
              <w:left w:val="single" w:sz="6" w:color="D9D9E0"/>
              <w:bottom w:val="single" w:sz="6" w:color="D9D9E0"/>
              <w:right w:val="single" w:sz="6" w:color="D9D9E0"/>
            </w:tcBorders>
          </w:tcPr>
          <w:p>
            <w:pPr>
              <w:spacing w:before="50" w:after="50"/>
            </w:pPr>
            <w:r>
              <w:rPr>
                <w:sz w:val="15"/>
              </w:rPr>
              <w:t>4.0</w:t>
            </w:r>
          </w:p>
        </w:tc>
        <w:tc>
          <w:tcPr>
            <w:tcW w:type="dxa" w:w="1080"/>
            <w:tcBorders>
              <w:top w:val="single" w:sz="6" w:color="D9D9E0"/>
              <w:left w:val="single" w:sz="6" w:color="D9D9E0"/>
              <w:bottom w:val="single" w:sz="6" w:color="D9D9E0"/>
              <w:right w:val="single" w:sz="6" w:color="D9D9E0"/>
            </w:tcBorders>
          </w:tcPr>
          <w:p>
            <w:pPr>
              <w:spacing w:before="50" w:after="50"/>
            </w:pPr>
            <w:r>
              <w:rPr>
                <w:b/>
              </w:rPr>
              <w:t>Not measured — NOT MEASURED</w:t>
            </w:r>
          </w:p>
        </w:tc>
        <w:tc>
          <w:tcPr>
            <w:tcW w:type="dxa" w:w="1728"/>
            <w:tcBorders>
              <w:top w:val="single" w:sz="6" w:color="D9D9E0"/>
              <w:left w:val="single" w:sz="6" w:color="D9D9E0"/>
              <w:bottom w:val="single" w:sz="6" w:color="D9D9E0"/>
              <w:right w:val="single" w:sz="6" w:color="D9D9E0"/>
            </w:tcBorders>
          </w:tcPr>
          <w:p>
            <w:pPr>
              <w:spacing w:before="50" w:after="50"/>
            </w:pPr>
            <w:r>
              <w:rPr>
                <w:b w:val="0"/>
              </w:rPr>
              <w:t>No scored sample on this run</w:t>
            </w:r>
          </w:p>
        </w:tc>
        <w:tc>
          <w:tcPr>
            <w:tcW w:type="dxa" w:w="2160"/>
            <w:tcBorders>
              <w:top w:val="single" w:sz="6" w:color="D9D9E0"/>
              <w:left w:val="single" w:sz="6" w:color="D9D9E0"/>
              <w:bottom w:val="single" w:sz="6" w:color="D9D9E0"/>
              <w:right w:val="single" w:sz="6" w:color="D9D9E0"/>
            </w:tcBorders>
          </w:tcPr>
          <w:p>
            <w:pPr>
              <w:spacing w:before="50" w:after="50"/>
            </w:pPr>
            <w:r>
              <w:rPr>
                <w:b w:val="0"/>
              </w:rPr>
              <w:t>The Framework's method is human review of a stated sample of responses against a rubric, reporting sample size, rubric and scorers. Not done for this run. Nearest evidence: B-18, where one person scored 50 drafts from b21_openai_80_20260914 on the judge's RAG rubric (mean answer relevance 4.86/5) — a different rubric, a different run and a single scorer, so not a satisfaction proxy.</w:t>
            </w:r>
          </w:p>
        </w:tc>
      </w:tr>
      <w:tr>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t>Escalation rate</w:t>
            </w:r>
          </w:p>
        </w:tc>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5"/>
              </w:rPr>
              <w:t>58%</w:t>
            </w:r>
          </w:p>
        </w:tc>
        <w:tc>
          <w:tcPr>
            <w:tcW w:type="dxa" w:w="1080"/>
            <w:tcBorders>
              <w:top w:val="single" w:sz="6" w:color="D9D9E0"/>
              <w:left w:val="single" w:sz="6" w:color="D9D9E0"/>
              <w:bottom w:val="single" w:sz="6" w:color="D9D9E0"/>
              <w:right w:val="single" w:sz="6" w:color="D9D9E0"/>
            </w:tcBorders>
            <w:shd w:val="clear" w:fill="F4F4F7"/>
          </w:tcPr>
          <w:p>
            <w:pPr>
              <w:spacing w:before="50" w:after="50"/>
            </w:pPr>
            <w:r>
              <w:rPr>
                <w:sz w:val="15"/>
              </w:rPr>
              <w:t>≤ 30%</w:t>
            </w:r>
          </w:p>
        </w:tc>
        <w:tc>
          <w:tcPr>
            <w:tcW w:type="dxa" w:w="1080"/>
            <w:tcBorders>
              <w:top w:val="single" w:sz="6" w:color="D9D9E0"/>
              <w:left w:val="single" w:sz="6" w:color="D9D9E0"/>
              <w:bottom w:val="single" w:sz="6" w:color="D9D9E0"/>
              <w:right w:val="single" w:sz="6" w:color="D9D9E0"/>
            </w:tcBorders>
            <w:shd w:val="clear" w:fill="F4F4F7"/>
          </w:tcPr>
          <w:p>
            <w:pPr>
              <w:spacing w:before="50" w:after="50"/>
            </w:pPr>
            <w:r>
              <w:rPr>
                <w:b/>
              </w:rPr>
              <w:t>50.0% — NOT MET</w:t>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b w:val="0"/>
              </w:rPr>
              <w:t>95% CI 24-76% (n=10)</w:t>
            </w:r>
          </w:p>
        </w:tc>
        <w:tc>
          <w:tcPr>
            <w:tcW w:type="dxa" w:w="2160"/>
            <w:tcBorders>
              <w:top w:val="single" w:sz="6" w:color="D9D9E0"/>
              <w:left w:val="single" w:sz="6" w:color="D9D9E0"/>
              <w:bottom w:val="single" w:sz="6" w:color="D9D9E0"/>
              <w:right w:val="single" w:sz="6" w:color="D9D9E0"/>
            </w:tcBorders>
            <w:shd w:val="clear" w:fill="F4F4F7"/>
          </w:tcPr>
          <w:p>
            <w:pPr>
              <w:spacing w:before="50" w:after="50"/>
            </w:pPr>
            <w:r>
              <w:rPr>
                <w:b w:val="0"/>
              </w:rPr>
              <w:t>5 escalated by routing and 0 blocked by a guardrail; 0 tickets were blocked because a check could not run (fail-safe), not because it found a fault.</w:t>
            </w:r>
          </w:p>
        </w:tc>
      </w:tr>
      <w:tr>
        <w:tc>
          <w:tcPr>
            <w:tcW w:type="dxa" w:w="2304"/>
            <w:tcBorders>
              <w:top w:val="single" w:sz="6" w:color="D9D9E0"/>
              <w:left w:val="single" w:sz="6" w:color="D9D9E0"/>
              <w:bottom w:val="single" w:sz="6" w:color="D9D9E0"/>
              <w:right w:val="single" w:sz="6" w:color="D9D9E0"/>
            </w:tcBorders>
          </w:tcPr>
          <w:p>
            <w:pPr>
              <w:spacing w:before="50" w:after="50"/>
            </w:pPr>
            <w:r>
              <w:rPr>
                <w:sz w:val="15"/>
              </w:rPr>
              <w:t>Classification precision</w:t>
            </w:r>
          </w:p>
        </w:tc>
        <w:tc>
          <w:tcPr>
            <w:tcW w:type="dxa" w:w="1296"/>
            <w:tcBorders>
              <w:top w:val="single" w:sz="6" w:color="D9D9E0"/>
              <w:left w:val="single" w:sz="6" w:color="D9D9E0"/>
              <w:bottom w:val="single" w:sz="6" w:color="D9D9E0"/>
              <w:right w:val="single" w:sz="6" w:color="D9D9E0"/>
            </w:tcBorders>
          </w:tcPr>
          <w:p>
            <w:pPr>
              <w:spacing w:before="50" w:after="50"/>
            </w:pPr>
            <w:r>
              <w:rPr>
                <w:sz w:val="15"/>
              </w:rPr>
              <w:t>—</w:t>
            </w:r>
          </w:p>
        </w:tc>
        <w:tc>
          <w:tcPr>
            <w:tcW w:type="dxa" w:w="1080"/>
            <w:tcBorders>
              <w:top w:val="single" w:sz="6" w:color="D9D9E0"/>
              <w:left w:val="single" w:sz="6" w:color="D9D9E0"/>
              <w:bottom w:val="single" w:sz="6" w:color="D9D9E0"/>
              <w:right w:val="single" w:sz="6" w:color="D9D9E0"/>
            </w:tcBorders>
          </w:tcPr>
          <w:p>
            <w:pPr>
              <w:spacing w:before="50" w:after="50"/>
            </w:pPr>
            <w:r>
              <w:rPr>
                <w:sz w:val="15"/>
              </w:rPr>
              <w:t>85%</w:t>
            </w:r>
          </w:p>
        </w:tc>
        <w:tc>
          <w:tcPr>
            <w:tcW w:type="dxa" w:w="1080"/>
            <w:tcBorders>
              <w:top w:val="single" w:sz="6" w:color="D9D9E0"/>
              <w:left w:val="single" w:sz="6" w:color="D9D9E0"/>
              <w:bottom w:val="single" w:sz="6" w:color="D9D9E0"/>
              <w:right w:val="single" w:sz="6" w:color="D9D9E0"/>
            </w:tcBorders>
          </w:tcPr>
          <w:p>
            <w:pPr>
              <w:spacing w:before="50" w:after="50"/>
            </w:pPr>
            <w:r>
              <w:rPr>
                <w:b/>
              </w:rPr>
              <w:t>71.4% mean over 7 classes; 5 of 7 at ≥85% — NOT MET</w:t>
            </w:r>
          </w:p>
        </w:tc>
        <w:tc>
          <w:tcPr>
            <w:tcW w:type="dxa" w:w="1728"/>
            <w:tcBorders>
              <w:top w:val="single" w:sz="6" w:color="D9D9E0"/>
              <w:left w:val="single" w:sz="6" w:color="D9D9E0"/>
              <w:bottom w:val="single" w:sz="6" w:color="D9D9E0"/>
              <w:right w:val="single" w:sz="6" w:color="D9D9E0"/>
            </w:tcBorders>
          </w:tcPr>
          <w:p>
            <w:pPr>
              <w:spacing w:before="50" w:after="50"/>
            </w:pPr>
            <w:r>
              <w:rPr>
                <w:b w:val="0"/>
              </w:rPr>
              <w:t>Per-class n: median 1; 7 classes have fewer than 5 tickets, so per-class figures are indicative only</w:t>
            </w:r>
          </w:p>
        </w:tc>
        <w:tc>
          <w:tcPr>
            <w:tcW w:type="dxa" w:w="2160"/>
            <w:tcBorders>
              <w:top w:val="single" w:sz="6" w:color="D9D9E0"/>
              <w:left w:val="single" w:sz="6" w:color="D9D9E0"/>
              <w:bottom w:val="single" w:sz="6" w:color="D9D9E0"/>
              <w:right w:val="single" w:sz="6" w:color="D9D9E0"/>
            </w:tcBorders>
          </w:tcPr>
          <w:p>
            <w:pPr>
              <w:spacing w:before="50" w:after="50"/>
            </w:pPr>
            <w:r>
              <w:rPr>
                <w:b w:val="0"/>
              </w:rPr>
              <w:t>Weakest: account_access 0% (n=1); api_usage_question 0% (n=1); api_key_issue 100% (n=1). Overall intent accuracy 80.0%. The target is per class, so it is met only if every class reaches 85%.</w:t>
            </w:r>
          </w:p>
        </w:tc>
      </w:tr>
      <w:tr>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t>Hallucination rate</w:t>
            </w:r>
          </w:p>
        </w:tc>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5"/>
              </w:rPr>
              <w:t>—</w:t>
            </w:r>
          </w:p>
        </w:tc>
        <w:tc>
          <w:tcPr>
            <w:tcW w:type="dxa" w:w="1080"/>
            <w:tcBorders>
              <w:top w:val="single" w:sz="6" w:color="D9D9E0"/>
              <w:left w:val="single" w:sz="6" w:color="D9D9E0"/>
              <w:bottom w:val="single" w:sz="6" w:color="D9D9E0"/>
              <w:right w:val="single" w:sz="6" w:color="D9D9E0"/>
            </w:tcBorders>
            <w:shd w:val="clear" w:fill="F4F4F7"/>
          </w:tcPr>
          <w:p>
            <w:pPr>
              <w:spacing w:before="50" w:after="50"/>
            </w:pPr>
            <w:r>
              <w:rPr>
                <w:sz w:val="15"/>
              </w:rPr>
              <w:t>≤ 5%</w:t>
            </w:r>
          </w:p>
        </w:tc>
        <w:tc>
          <w:tcPr>
            <w:tcW w:type="dxa" w:w="1080"/>
            <w:tcBorders>
              <w:top w:val="single" w:sz="6" w:color="D9D9E0"/>
              <w:left w:val="single" w:sz="6" w:color="D9D9E0"/>
              <w:bottom w:val="single" w:sz="6" w:color="D9D9E0"/>
              <w:right w:val="single" w:sz="6" w:color="D9D9E0"/>
            </w:tcBorders>
            <w:shd w:val="clear" w:fill="F4F4F7"/>
          </w:tcPr>
          <w:p>
            <w:pPr>
              <w:spacing w:before="50" w:after="50"/>
            </w:pPr>
            <w:r>
              <w:rPr>
                <w:b/>
              </w:rPr>
              <w:t>Not measured to method — NOT MEASURED</w:t>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b w:val="0"/>
              </w:rPr>
              <w:t>—</w:t>
            </w:r>
          </w:p>
        </w:tc>
        <w:tc>
          <w:tcPr>
            <w:tcW w:type="dxa" w:w="2160"/>
            <w:tcBorders>
              <w:top w:val="single" w:sz="6" w:color="D9D9E0"/>
              <w:left w:val="single" w:sz="6" w:color="D9D9E0"/>
              <w:bottom w:val="single" w:sz="6" w:color="D9D9E0"/>
              <w:right w:val="single" w:sz="6" w:color="D9D9E0"/>
            </w:tcBorders>
            <w:shd w:val="clear" w:fill="F4F4F7"/>
          </w:tcPr>
          <w:p>
            <w:pPr>
              <w:spacing w:before="50" w:after="50"/>
            </w:pPr>
            <w:r>
              <w:rPr>
                <w:b w:val="0"/>
              </w:rPr>
              <w:t>The Framework requires at least fifty responses assessed independently by two people, with their agreement reported. This project had one human assessor. Nearest evidence (B-18, drafts from b21_openai_80_20260914): one human found an unsupported claim in 1 of 50 drafts; the LLM judge in 5 of 50; the judge failed calibration (pooled Spearman 0.3492 against 0.70).</w:t>
            </w:r>
          </w:p>
        </w:tc>
      </w:tr>
      <w:tr>
        <w:tc>
          <w:tcPr>
            <w:tcW w:type="dxa" w:w="2304"/>
            <w:tcBorders>
              <w:top w:val="single" w:sz="6" w:color="D9D9E0"/>
              <w:left w:val="single" w:sz="6" w:color="D9D9E0"/>
              <w:bottom w:val="single" w:sz="6" w:color="D9D9E0"/>
              <w:right w:val="single" w:sz="6" w:color="D9D9E0"/>
            </w:tcBorders>
          </w:tcPr>
          <w:p>
            <w:pPr>
              <w:spacing w:before="50" w:after="50"/>
            </w:pPr>
            <w:r>
              <w:rPr>
                <w:sz w:val="15"/>
              </w:rPr>
              <w:t>Citation accuracy</w:t>
            </w:r>
          </w:p>
        </w:tc>
        <w:tc>
          <w:tcPr>
            <w:tcW w:type="dxa" w:w="1296"/>
            <w:tcBorders>
              <w:top w:val="single" w:sz="6" w:color="D9D9E0"/>
              <w:left w:val="single" w:sz="6" w:color="D9D9E0"/>
              <w:bottom w:val="single" w:sz="6" w:color="D9D9E0"/>
              <w:right w:val="single" w:sz="6" w:color="D9D9E0"/>
            </w:tcBorders>
          </w:tcPr>
          <w:p>
            <w:pPr>
              <w:spacing w:before="50" w:after="50"/>
            </w:pPr>
            <w:r>
              <w:rPr>
                <w:sz w:val="15"/>
              </w:rPr>
              <w:t>—</w:t>
            </w:r>
          </w:p>
        </w:tc>
        <w:tc>
          <w:tcPr>
            <w:tcW w:type="dxa" w:w="1080"/>
            <w:tcBorders>
              <w:top w:val="single" w:sz="6" w:color="D9D9E0"/>
              <w:left w:val="single" w:sz="6" w:color="D9D9E0"/>
              <w:bottom w:val="single" w:sz="6" w:color="D9D9E0"/>
              <w:right w:val="single" w:sz="6" w:color="D9D9E0"/>
            </w:tcBorders>
          </w:tcPr>
          <w:p>
            <w:pPr>
              <w:spacing w:before="50" w:after="50"/>
            </w:pPr>
            <w:r>
              <w:rPr>
                <w:sz w:val="15"/>
              </w:rPr>
              <w:t>95%</w:t>
            </w:r>
          </w:p>
        </w:tc>
        <w:tc>
          <w:tcPr>
            <w:tcW w:type="dxa" w:w="1080"/>
            <w:tcBorders>
              <w:top w:val="single" w:sz="6" w:color="D9D9E0"/>
              <w:left w:val="single" w:sz="6" w:color="D9D9E0"/>
              <w:bottom w:val="single" w:sz="6" w:color="D9D9E0"/>
              <w:right w:val="single" w:sz="6" w:color="D9D9E0"/>
            </w:tcBorders>
          </w:tcPr>
          <w:p>
            <w:pPr>
              <w:spacing w:before="50" w:after="50"/>
            </w:pPr>
            <w:r>
              <w:rPr>
                <w:b/>
              </w:rPr>
              <w:t>Not measured to method — NOT MEASURED</w:t>
            </w:r>
          </w:p>
        </w:tc>
        <w:tc>
          <w:tcPr>
            <w:tcW w:type="dxa" w:w="1728"/>
            <w:tcBorders>
              <w:top w:val="single" w:sz="6" w:color="D9D9E0"/>
              <w:left w:val="single" w:sz="6" w:color="D9D9E0"/>
              <w:bottom w:val="single" w:sz="6" w:color="D9D9E0"/>
              <w:right w:val="single" w:sz="6" w:color="D9D9E0"/>
            </w:tcBorders>
          </w:tcPr>
          <w:p>
            <w:pPr>
              <w:spacing w:before="50" w:after="50"/>
            </w:pPr>
            <w:r>
              <w:rPr>
                <w:b w:val="0"/>
              </w:rPr>
              <w:t>—</w:t>
            </w:r>
          </w:p>
        </w:tc>
        <w:tc>
          <w:tcPr>
            <w:tcW w:type="dxa" w:w="2160"/>
            <w:tcBorders>
              <w:top w:val="single" w:sz="6" w:color="D9D9E0"/>
              <w:left w:val="single" w:sz="6" w:color="D9D9E0"/>
              <w:bottom w:val="single" w:sz="6" w:color="D9D9E0"/>
              <w:right w:val="single" w:sz="6" w:color="D9D9E0"/>
            </w:tcBorders>
          </w:tcPr>
          <w:p>
            <w:pPr>
              <w:spacing w:before="50" w:after="50"/>
            </w:pPr>
            <w:r>
              <w:rPr>
                <w:b w:val="0"/>
              </w:rPr>
              <w:t>The Framework checks each citation against the sentence it is attached to. Sentence-level support was not assessed. Nearest evidence: the cited ARTICLE was one the labels expect in 100.0% of citations over 6 drafts (recall 83.3%) — a check of the right source, not of support.</w:t>
            </w:r>
          </w:p>
        </w:tc>
      </w:tr>
      <w:tr>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t>Latency p95</w:t>
            </w:r>
          </w:p>
        </w:tc>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5"/>
              </w:rPr>
              <w:t>—</w:t>
            </w:r>
          </w:p>
        </w:tc>
        <w:tc>
          <w:tcPr>
            <w:tcW w:type="dxa" w:w="1080"/>
            <w:tcBorders>
              <w:top w:val="single" w:sz="6" w:color="D9D9E0"/>
              <w:left w:val="single" w:sz="6" w:color="D9D9E0"/>
              <w:bottom w:val="single" w:sz="6" w:color="D9D9E0"/>
              <w:right w:val="single" w:sz="6" w:color="D9D9E0"/>
            </w:tcBorders>
            <w:shd w:val="clear" w:fill="F4F4F7"/>
          </w:tcPr>
          <w:p>
            <w:pPr>
              <w:spacing w:before="50" w:after="50"/>
            </w:pPr>
            <w:r>
              <w:rPr>
                <w:sz w:val="15"/>
              </w:rPr>
              <w:t>&lt; 3 s</w:t>
            </w:r>
          </w:p>
        </w:tc>
        <w:tc>
          <w:tcPr>
            <w:tcW w:type="dxa" w:w="1080"/>
            <w:tcBorders>
              <w:top w:val="single" w:sz="6" w:color="D9D9E0"/>
              <w:left w:val="single" w:sz="6" w:color="D9D9E0"/>
              <w:bottom w:val="single" w:sz="6" w:color="D9D9E0"/>
              <w:right w:val="single" w:sz="6" w:color="D9D9E0"/>
            </w:tcBorders>
            <w:shd w:val="clear" w:fill="F4F4F7"/>
          </w:tcPr>
          <w:p>
            <w:pPr>
              <w:spacing w:before="50" w:after="50"/>
            </w:pPr>
            <w:r>
              <w:rPr>
                <w:b/>
              </w:rPr>
              <w:t>23.4 s — NOT MET</w:t>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b w:val="0"/>
              </w:rPr>
              <w:t>n=10 live tickets; max 23.4 s</w:t>
            </w:r>
          </w:p>
        </w:tc>
        <w:tc>
          <w:tcPr>
            <w:tcW w:type="dxa" w:w="2160"/>
            <w:tcBorders>
              <w:top w:val="single" w:sz="6" w:color="D9D9E0"/>
              <w:left w:val="single" w:sz="6" w:color="D9D9E0"/>
              <w:bottom w:val="single" w:sz="6" w:color="D9D9E0"/>
              <w:right w:val="single" w:sz="6" w:color="D9D9E0"/>
            </w:tcBorders>
            <w:shd w:val="clear" w:fill="F4F4F7"/>
          </w:tcPr>
          <w:p>
            <w:pPr>
              <w:spacing w:before="50" w:after="50"/>
            </w:pPr>
            <w:r>
              <w:rPr>
                <w:b w:val="0"/>
              </w:rPr>
              <w:t>End to end per ticket, including retrieval and every model call, run in sequence. Models: gpt-4o-mini drafting, gpt-4o guardrails.</w:t>
            </w:r>
          </w:p>
        </w:tc>
      </w:tr>
      <w:tr>
        <w:tc>
          <w:tcPr>
            <w:tcW w:type="dxa" w:w="2304"/>
            <w:tcBorders>
              <w:top w:val="single" w:sz="6" w:color="D9D9E0"/>
              <w:left w:val="single" w:sz="6" w:color="D9D9E0"/>
              <w:bottom w:val="single" w:sz="6" w:color="D9D9E0"/>
              <w:right w:val="single" w:sz="6" w:color="D9D9E0"/>
            </w:tcBorders>
          </w:tcPr>
          <w:p>
            <w:pPr>
              <w:spacing w:before="50" w:after="50"/>
            </w:pPr>
            <w:r>
              <w:rPr>
                <w:sz w:val="15"/>
              </w:rPr>
              <w:t>Private data occurrences</w:t>
            </w:r>
          </w:p>
        </w:tc>
        <w:tc>
          <w:tcPr>
            <w:tcW w:type="dxa" w:w="1296"/>
            <w:tcBorders>
              <w:top w:val="single" w:sz="6" w:color="D9D9E0"/>
              <w:left w:val="single" w:sz="6" w:color="D9D9E0"/>
              <w:bottom w:val="single" w:sz="6" w:color="D9D9E0"/>
              <w:right w:val="single" w:sz="6" w:color="D9D9E0"/>
            </w:tcBorders>
          </w:tcPr>
          <w:p>
            <w:pPr>
              <w:spacing w:before="50" w:after="50"/>
            </w:pPr>
            <w:r>
              <w:rPr>
                <w:sz w:val="15"/>
              </w:rPr>
              <w:t>—</w:t>
            </w:r>
          </w:p>
        </w:tc>
        <w:tc>
          <w:tcPr>
            <w:tcW w:type="dxa" w:w="1080"/>
            <w:tcBorders>
              <w:top w:val="single" w:sz="6" w:color="D9D9E0"/>
              <w:left w:val="single" w:sz="6" w:color="D9D9E0"/>
              <w:bottom w:val="single" w:sz="6" w:color="D9D9E0"/>
              <w:right w:val="single" w:sz="6" w:color="D9D9E0"/>
            </w:tcBorders>
          </w:tcPr>
          <w:p>
            <w:pPr>
              <w:spacing w:before="50" w:after="50"/>
            </w:pPr>
            <w:r>
              <w:rPr>
                <w:sz w:val="15"/>
              </w:rPr>
              <w:t>0</w:t>
            </w:r>
          </w:p>
        </w:tc>
        <w:tc>
          <w:tcPr>
            <w:tcW w:type="dxa" w:w="1080"/>
            <w:tcBorders>
              <w:top w:val="single" w:sz="6" w:color="D9D9E0"/>
              <w:left w:val="single" w:sz="6" w:color="D9D9E0"/>
              <w:bottom w:val="single" w:sz="6" w:color="D9D9E0"/>
              <w:right w:val="single" w:sz="6" w:color="D9D9E0"/>
            </w:tcBorders>
          </w:tcPr>
          <w:p>
            <w:pPr>
              <w:spacing w:before="50" w:after="50"/>
            </w:pPr>
            <w:r>
              <w:rPr>
                <w:b w:val="0"/>
              </w:rPr>
              <w:t>0 — MET</w:t>
            </w:r>
          </w:p>
        </w:tc>
        <w:tc>
          <w:tcPr>
            <w:tcW w:type="dxa" w:w="1728"/>
            <w:tcBorders>
              <w:top w:val="single" w:sz="6" w:color="D9D9E0"/>
              <w:left w:val="single" w:sz="6" w:color="D9D9E0"/>
              <w:bottom w:val="single" w:sz="6" w:color="D9D9E0"/>
              <w:right w:val="single" w:sz="6" w:color="D9D9E0"/>
            </w:tcBorders>
          </w:tcPr>
          <w:p>
            <w:pPr>
              <w:spacing w:before="50" w:after="50"/>
            </w:pPr>
            <w:r>
              <w:rPr>
                <w:b w:val="0"/>
              </w:rPr>
              <w:t>Automated scan of all 5 sent replies; manual sample review: not done</w:t>
            </w:r>
          </w:p>
        </w:tc>
        <w:tc>
          <w:tcPr>
            <w:tcW w:type="dxa" w:w="2160"/>
            <w:tcBorders>
              <w:top w:val="single" w:sz="6" w:color="D9D9E0"/>
              <w:left w:val="single" w:sz="6" w:color="D9D9E0"/>
              <w:bottom w:val="single" w:sz="6" w:color="D9D9E0"/>
              <w:right w:val="single" w:sz="6" w:color="D9D9E0"/>
            </w:tcBorders>
          </w:tcPr>
          <w:p>
            <w:pPr>
              <w:spacing w:before="50" w:after="50"/>
            </w:pPr>
            <w:r>
              <w:rPr>
                <w:b w:val="0"/>
              </w:rPr>
              <w:t>The scan uses the PII guardrail's own patterns (email, API key, phone, account number), independently of the judge's verdict. The guardrail blocked 0 drafts for private data before sending.</w:t>
            </w:r>
          </w:p>
        </w:tc>
      </w:tr>
      <w:tr>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t>Cross-group variation</w:t>
            </w:r>
          </w:p>
        </w:tc>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5"/>
              </w:rPr>
              <w:t>—</w:t>
            </w:r>
          </w:p>
        </w:tc>
        <w:tc>
          <w:tcPr>
            <w:tcW w:type="dxa" w:w="1080"/>
            <w:tcBorders>
              <w:top w:val="single" w:sz="6" w:color="D9D9E0"/>
              <w:left w:val="single" w:sz="6" w:color="D9D9E0"/>
              <w:bottom w:val="single" w:sz="6" w:color="D9D9E0"/>
              <w:right w:val="single" w:sz="6" w:color="D9D9E0"/>
            </w:tcBorders>
            <w:shd w:val="clear" w:fill="F4F4F7"/>
          </w:tcPr>
          <w:p>
            <w:pPr>
              <w:spacing w:before="50" w:after="50"/>
            </w:pPr>
            <w:r>
              <w:rPr>
                <w:sz w:val="15"/>
              </w:rPr>
              <w:t>&lt; 5 pts</w:t>
            </w:r>
          </w:p>
        </w:tc>
        <w:tc>
          <w:tcPr>
            <w:tcW w:type="dxa" w:w="1080"/>
            <w:tcBorders>
              <w:top w:val="single" w:sz="6" w:color="D9D9E0"/>
              <w:left w:val="single" w:sz="6" w:color="D9D9E0"/>
              <w:bottom w:val="single" w:sz="6" w:color="D9D9E0"/>
              <w:right w:val="single" w:sz="6" w:color="D9D9E0"/>
            </w:tcBorders>
            <w:shd w:val="clear" w:fill="F4F4F7"/>
          </w:tcPr>
          <w:p>
            <w:pPr>
              <w:spacing w:before="50" w:after="50"/>
            </w:pPr>
            <w:r>
              <w:rPr>
                <w:b/>
              </w:rPr>
              <w:t>Not measured — NOT MEASURED</w:t>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b w:val="0"/>
              </w:rPr>
              <w:t>Every segment under n=10</w:t>
            </w:r>
          </w:p>
        </w:tc>
        <w:tc>
          <w:tcPr>
            <w:tcW w:type="dxa" w:w="2160"/>
            <w:tcBorders>
              <w:top w:val="single" w:sz="6" w:color="D9D9E0"/>
              <w:left w:val="single" w:sz="6" w:color="D9D9E0"/>
              <w:bottom w:val="single" w:sz="6" w:color="D9D9E0"/>
              <w:right w:val="single" w:sz="6" w:color="D9D9E0"/>
            </w:tcBorders>
            <w:shd w:val="clear" w:fill="F4F4F7"/>
          </w:tcPr>
          <w:p>
            <w:pPr>
              <w:spacing w:before="50" w:after="50"/>
            </w:pPr>
            <w:r>
              <w:rPr>
                <w:b w:val="0"/>
              </w:rPr>
              <w:t>No segment reached the audit's minimum size.</w:t>
            </w:r>
          </w:p>
        </w:tc>
      </w:tr>
    </w:tbl>
    <w:p>
      <w:pPr>
        <w:pStyle w:val="Heading3"/>
      </w:pPr>
      <w:r>
        <w:t>Results — free hosted configuration (OpenRouter free tier)</w:t>
      </w:r>
    </w:p>
    <w:p>
      <w:r>
        <w:t>Run harness-20260920T154501Z-78b497af (2026-09-20 UTC), 5 tickets, code a288388. Drafting nvidia/nemotron-3-super-120b-a12b:free; guardrails nex-agi/nex-n2.5-pro:free. Confidence threshold 0.85; guardrails on; model cache off (16 live calls). Cost of the run: $0.0000 (20,653 tokens in, 3,730 out). Runs against the hidden evaluation set: 0. This is the FIRST free-tier configuration to complete a run, and the figures are poor: 0 of 5 tickets answered, 3 of 16 calls returned HTTP 200 carrying no choices, p95 195s against a 3s target. Google's free models were rate-limited upstream for every call of an earlier attempt the same day, so this pairing is what was available rather than what was chosen. At n=5 one ticket moves any rate by 20 points.</w:t>
      </w:r>
    </w:p>
    <w:tbl>
      <w:tblPr>
        <w:tblW w:type="auto" w:w="0"/>
        <w:jc w:val="center"/>
        <w:tblLayout w:type="fixed"/>
        <w:tblLook w:firstColumn="1" w:firstRow="1" w:lastColumn="0" w:lastRow="0" w:noHBand="0" w:noVBand="1" w:val="04A0"/>
      </w:tblPr>
      <w:tblGrid>
        <w:gridCol w:w="1608"/>
        <w:gridCol w:w="1608"/>
        <w:gridCol w:w="1608"/>
        <w:gridCol w:w="1608"/>
        <w:gridCol w:w="1608"/>
        <w:gridCol w:w="1608"/>
      </w:tblGrid>
      <w:tr>
        <w:tc>
          <w:tcPr>
            <w:tcW w:type="dxa" w:w="230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Measure</w:t>
            </w:r>
          </w:p>
        </w:tc>
        <w:tc>
          <w:tcPr>
            <w:tcW w:type="dxa" w:w="1296"/>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Baseline</w:t>
            </w:r>
          </w:p>
        </w:tc>
        <w:tc>
          <w:tcPr>
            <w:tcW w:type="dxa" w:w="1080"/>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Target</w:t>
            </w:r>
          </w:p>
        </w:tc>
        <w:tc>
          <w:tcPr>
            <w:tcW w:type="dxa" w:w="1080"/>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Achieved</w:t>
            </w:r>
          </w:p>
        </w:tc>
        <w:tc>
          <w:tcPr>
            <w:tcW w:type="dxa" w:w="1728"/>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Confidence in the figure</w:t>
            </w:r>
          </w:p>
        </w:tc>
        <w:tc>
          <w:tcPr>
            <w:tcW w:type="dxa" w:w="2160"/>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Notes</w:t>
            </w:r>
          </w:p>
        </w:tc>
      </w:tr>
      <w:tr>
        <w:tc>
          <w:tcPr>
            <w:tcW w:type="dxa" w:w="2304"/>
            <w:tcBorders>
              <w:top w:val="single" w:sz="6" w:color="D9D9E0"/>
              <w:left w:val="single" w:sz="6" w:color="D9D9E0"/>
              <w:bottom w:val="single" w:sz="6" w:color="D9D9E0"/>
              <w:right w:val="single" w:sz="6" w:color="D9D9E0"/>
            </w:tcBorders>
          </w:tcPr>
          <w:p>
            <w:pPr>
              <w:spacing w:before="50" w:after="50"/>
            </w:pPr>
            <w:r>
              <w:rPr>
                <w:sz w:val="15"/>
              </w:rPr>
              <w:t>First contact resolution</w:t>
            </w:r>
          </w:p>
        </w:tc>
        <w:tc>
          <w:tcPr>
            <w:tcW w:type="dxa" w:w="1296"/>
            <w:tcBorders>
              <w:top w:val="single" w:sz="6" w:color="D9D9E0"/>
              <w:left w:val="single" w:sz="6" w:color="D9D9E0"/>
              <w:bottom w:val="single" w:sz="6" w:color="D9D9E0"/>
              <w:right w:val="single" w:sz="6" w:color="D9D9E0"/>
            </w:tcBorders>
          </w:tcPr>
          <w:p>
            <w:pPr>
              <w:spacing w:before="50" w:after="50"/>
            </w:pPr>
            <w:r>
              <w:rPr>
                <w:sz w:val="15"/>
              </w:rPr>
              <w:t>42%</w:t>
            </w:r>
          </w:p>
        </w:tc>
        <w:tc>
          <w:tcPr>
            <w:tcW w:type="dxa" w:w="1080"/>
            <w:tcBorders>
              <w:top w:val="single" w:sz="6" w:color="D9D9E0"/>
              <w:left w:val="single" w:sz="6" w:color="D9D9E0"/>
              <w:bottom w:val="single" w:sz="6" w:color="D9D9E0"/>
              <w:right w:val="single" w:sz="6" w:color="D9D9E0"/>
            </w:tcBorders>
          </w:tcPr>
          <w:p>
            <w:pPr>
              <w:spacing w:before="50" w:after="50"/>
            </w:pPr>
            <w:r>
              <w:rPr>
                <w:sz w:val="15"/>
              </w:rPr>
              <w:t>60%</w:t>
            </w:r>
          </w:p>
        </w:tc>
        <w:tc>
          <w:tcPr>
            <w:tcW w:type="dxa" w:w="1080"/>
            <w:tcBorders>
              <w:top w:val="single" w:sz="6" w:color="D9D9E0"/>
              <w:left w:val="single" w:sz="6" w:color="D9D9E0"/>
              <w:bottom w:val="single" w:sz="6" w:color="D9D9E0"/>
              <w:right w:val="single" w:sz="6" w:color="D9D9E0"/>
            </w:tcBorders>
          </w:tcPr>
          <w:p>
            <w:pPr>
              <w:spacing w:before="50" w:after="50"/>
            </w:pPr>
            <w:r>
              <w:rPr>
                <w:b/>
              </w:rPr>
              <w:t>0.0% correctly resolved (0.0% auto-sent) — NOT MET</w:t>
            </w:r>
          </w:p>
        </w:tc>
        <w:tc>
          <w:tcPr>
            <w:tcW w:type="dxa" w:w="1728"/>
            <w:tcBorders>
              <w:top w:val="single" w:sz="6" w:color="D9D9E0"/>
              <w:left w:val="single" w:sz="6" w:color="D9D9E0"/>
              <w:bottom w:val="single" w:sz="6" w:color="D9D9E0"/>
              <w:right w:val="single" w:sz="6" w:color="D9D9E0"/>
            </w:tcBorders>
          </w:tcPr>
          <w:p>
            <w:pPr>
              <w:spacing w:before="50" w:after="50"/>
            </w:pPr>
            <w:r>
              <w:rPr>
                <w:b w:val="0"/>
              </w:rPr>
              <w:t>95% CI 0-43% (n=5)</w:t>
            </w:r>
          </w:p>
        </w:tc>
        <w:tc>
          <w:tcPr>
            <w:tcW w:type="dxa" w:w="2160"/>
            <w:tcBorders>
              <w:top w:val="single" w:sz="6" w:color="D9D9E0"/>
              <w:left w:val="single" w:sz="6" w:color="D9D9E0"/>
              <w:bottom w:val="single" w:sz="6" w:color="D9D9E0"/>
              <w:right w:val="single" w:sz="6" w:color="D9D9E0"/>
            </w:tcBorders>
          </w:tcPr>
          <w:p>
            <w:pPr>
              <w:spacing w:before="50" w:after="50"/>
            </w:pPr>
            <w:r>
              <w:rPr>
                <w:b w:val="0"/>
              </w:rPr>
              <w:t>0 of 0 sent replies went to tickets the labels say must be held, so they are not counted as resolved: a wrong answer returns as a repeat contact. Correctness is agreement with labels.expected_route, not a check of reply quality.</w:t>
            </w:r>
          </w:p>
        </w:tc>
      </w:tr>
      <w:tr>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t>Mean time to first reply</w:t>
            </w:r>
          </w:p>
        </w:tc>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5"/>
              </w:rPr>
              <w:t>8 to 12 hrs</w:t>
            </w:r>
          </w:p>
        </w:tc>
        <w:tc>
          <w:tcPr>
            <w:tcW w:type="dxa" w:w="1080"/>
            <w:tcBorders>
              <w:top w:val="single" w:sz="6" w:color="D9D9E0"/>
              <w:left w:val="single" w:sz="6" w:color="D9D9E0"/>
              <w:bottom w:val="single" w:sz="6" w:color="D9D9E0"/>
              <w:right w:val="single" w:sz="6" w:color="D9D9E0"/>
            </w:tcBorders>
            <w:shd w:val="clear" w:fill="F4F4F7"/>
          </w:tcPr>
          <w:p>
            <w:pPr>
              <w:spacing w:before="50" w:after="50"/>
            </w:pPr>
            <w:r>
              <w:rPr>
                <w:sz w:val="15"/>
              </w:rPr>
              <w:t>&lt; 5 min</w:t>
            </w:r>
          </w:p>
        </w:tc>
        <w:tc>
          <w:tcPr>
            <w:tcW w:type="dxa" w:w="1080"/>
            <w:tcBorders>
              <w:top w:val="single" w:sz="6" w:color="D9D9E0"/>
              <w:left w:val="single" w:sz="6" w:color="D9D9E0"/>
              <w:bottom w:val="single" w:sz="6" w:color="D9D9E0"/>
              <w:right w:val="single" w:sz="6" w:color="D9D9E0"/>
            </w:tcBorders>
            <w:shd w:val="clear" w:fill="F4F4F7"/>
          </w:tcPr>
          <w:p>
            <w:pPr>
              <w:spacing w:before="50" w:after="50"/>
            </w:pPr>
            <w:r>
              <w:rPr>
                <w:b/>
              </w:rPr>
              <w:t>No automated replies — NOT MET</w:t>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b w:val="0"/>
              </w:rPr>
              <w:t>n=0</w:t>
            </w:r>
          </w:p>
        </w:tc>
        <w:tc>
          <w:tcPr>
            <w:tcW w:type="dxa" w:w="2160"/>
            <w:tcBorders>
              <w:top w:val="single" w:sz="6" w:color="D9D9E0"/>
              <w:left w:val="single" w:sz="6" w:color="D9D9E0"/>
              <w:bottom w:val="single" w:sz="6" w:color="D9D9E0"/>
              <w:right w:val="single" w:sz="6" w:color="D9D9E0"/>
            </w:tcBorders>
            <w:shd w:val="clear" w:fill="F4F4F7"/>
          </w:tcPr>
          <w:p>
            <w:pPr>
              <w:spacing w:before="50" w:after="50"/>
            </w:pPr>
            <w:r>
              <w:rPr>
                <w:b w:val="0"/>
              </w:rPr>
              <w:t>All 5 tickets were escalated or blocked.</w:t>
            </w:r>
          </w:p>
        </w:tc>
      </w:tr>
      <w:tr>
        <w:tc>
          <w:tcPr>
            <w:tcW w:type="dxa" w:w="2304"/>
            <w:tcBorders>
              <w:top w:val="single" w:sz="6" w:color="D9D9E0"/>
              <w:left w:val="single" w:sz="6" w:color="D9D9E0"/>
              <w:bottom w:val="single" w:sz="6" w:color="D9D9E0"/>
              <w:right w:val="single" w:sz="6" w:color="D9D9E0"/>
            </w:tcBorders>
          </w:tcPr>
          <w:p>
            <w:pPr>
              <w:spacing w:before="50" w:after="50"/>
            </w:pPr>
            <w:r>
              <w:rPr>
                <w:sz w:val="15"/>
              </w:rPr>
              <w:t>Satisfaction proxy</w:t>
            </w:r>
          </w:p>
        </w:tc>
        <w:tc>
          <w:tcPr>
            <w:tcW w:type="dxa" w:w="1296"/>
            <w:tcBorders>
              <w:top w:val="single" w:sz="6" w:color="D9D9E0"/>
              <w:left w:val="single" w:sz="6" w:color="D9D9E0"/>
              <w:bottom w:val="single" w:sz="6" w:color="D9D9E0"/>
              <w:right w:val="single" w:sz="6" w:color="D9D9E0"/>
            </w:tcBorders>
          </w:tcPr>
          <w:p>
            <w:pPr>
              <w:spacing w:before="50" w:after="50"/>
            </w:pPr>
            <w:r>
              <w:rPr>
                <w:sz w:val="15"/>
              </w:rPr>
              <w:t>3.2 / 5</w:t>
            </w:r>
          </w:p>
        </w:tc>
        <w:tc>
          <w:tcPr>
            <w:tcW w:type="dxa" w:w="1080"/>
            <w:tcBorders>
              <w:top w:val="single" w:sz="6" w:color="D9D9E0"/>
              <w:left w:val="single" w:sz="6" w:color="D9D9E0"/>
              <w:bottom w:val="single" w:sz="6" w:color="D9D9E0"/>
              <w:right w:val="single" w:sz="6" w:color="D9D9E0"/>
            </w:tcBorders>
          </w:tcPr>
          <w:p>
            <w:pPr>
              <w:spacing w:before="50" w:after="50"/>
            </w:pPr>
            <w:r>
              <w:rPr>
                <w:sz w:val="15"/>
              </w:rPr>
              <w:t>4.0</w:t>
            </w:r>
          </w:p>
        </w:tc>
        <w:tc>
          <w:tcPr>
            <w:tcW w:type="dxa" w:w="1080"/>
            <w:tcBorders>
              <w:top w:val="single" w:sz="6" w:color="D9D9E0"/>
              <w:left w:val="single" w:sz="6" w:color="D9D9E0"/>
              <w:bottom w:val="single" w:sz="6" w:color="D9D9E0"/>
              <w:right w:val="single" w:sz="6" w:color="D9D9E0"/>
            </w:tcBorders>
          </w:tcPr>
          <w:p>
            <w:pPr>
              <w:spacing w:before="50" w:after="50"/>
            </w:pPr>
            <w:r>
              <w:rPr>
                <w:b/>
              </w:rPr>
              <w:t>Not measured — NOT MEASURED</w:t>
            </w:r>
          </w:p>
        </w:tc>
        <w:tc>
          <w:tcPr>
            <w:tcW w:type="dxa" w:w="1728"/>
            <w:tcBorders>
              <w:top w:val="single" w:sz="6" w:color="D9D9E0"/>
              <w:left w:val="single" w:sz="6" w:color="D9D9E0"/>
              <w:bottom w:val="single" w:sz="6" w:color="D9D9E0"/>
              <w:right w:val="single" w:sz="6" w:color="D9D9E0"/>
            </w:tcBorders>
          </w:tcPr>
          <w:p>
            <w:pPr>
              <w:spacing w:before="50" w:after="50"/>
            </w:pPr>
            <w:r>
              <w:rPr>
                <w:b w:val="0"/>
              </w:rPr>
              <w:t>No scored sample on this run</w:t>
            </w:r>
          </w:p>
        </w:tc>
        <w:tc>
          <w:tcPr>
            <w:tcW w:type="dxa" w:w="2160"/>
            <w:tcBorders>
              <w:top w:val="single" w:sz="6" w:color="D9D9E0"/>
              <w:left w:val="single" w:sz="6" w:color="D9D9E0"/>
              <w:bottom w:val="single" w:sz="6" w:color="D9D9E0"/>
              <w:right w:val="single" w:sz="6" w:color="D9D9E0"/>
            </w:tcBorders>
          </w:tcPr>
          <w:p>
            <w:pPr>
              <w:spacing w:before="50" w:after="50"/>
            </w:pPr>
            <w:r>
              <w:rPr>
                <w:b w:val="0"/>
              </w:rPr>
              <w:t>The Framework's method is human review of a stated sample of responses against a rubric, reporting sample size, rubric and scorers. Not done for this run. Nearest evidence: B-18, where one person scored 50 drafts from b21_openai_80_20260914 on the judge's RAG rubric (mean answer relevance 4.86/5) — a different rubric, a different run and a single scorer, so not a satisfaction proxy.</w:t>
            </w:r>
          </w:p>
        </w:tc>
      </w:tr>
      <w:tr>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t>Escalation rate</w:t>
            </w:r>
          </w:p>
        </w:tc>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5"/>
              </w:rPr>
              <w:t>58%</w:t>
            </w:r>
          </w:p>
        </w:tc>
        <w:tc>
          <w:tcPr>
            <w:tcW w:type="dxa" w:w="1080"/>
            <w:tcBorders>
              <w:top w:val="single" w:sz="6" w:color="D9D9E0"/>
              <w:left w:val="single" w:sz="6" w:color="D9D9E0"/>
              <w:bottom w:val="single" w:sz="6" w:color="D9D9E0"/>
              <w:right w:val="single" w:sz="6" w:color="D9D9E0"/>
            </w:tcBorders>
            <w:shd w:val="clear" w:fill="F4F4F7"/>
          </w:tcPr>
          <w:p>
            <w:pPr>
              <w:spacing w:before="50" w:after="50"/>
            </w:pPr>
            <w:r>
              <w:rPr>
                <w:sz w:val="15"/>
              </w:rPr>
              <w:t>≤ 30%</w:t>
            </w:r>
          </w:p>
        </w:tc>
        <w:tc>
          <w:tcPr>
            <w:tcW w:type="dxa" w:w="1080"/>
            <w:tcBorders>
              <w:top w:val="single" w:sz="6" w:color="D9D9E0"/>
              <w:left w:val="single" w:sz="6" w:color="D9D9E0"/>
              <w:bottom w:val="single" w:sz="6" w:color="D9D9E0"/>
              <w:right w:val="single" w:sz="6" w:color="D9D9E0"/>
            </w:tcBorders>
            <w:shd w:val="clear" w:fill="F4F4F7"/>
          </w:tcPr>
          <w:p>
            <w:pPr>
              <w:spacing w:before="50" w:after="50"/>
            </w:pPr>
            <w:r>
              <w:rPr>
                <w:b/>
              </w:rPr>
              <w:t>100.0% — NOT MET</w:t>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b w:val="0"/>
              </w:rPr>
              <w:t>95% CI 57-100% (n=5)</w:t>
            </w:r>
          </w:p>
        </w:tc>
        <w:tc>
          <w:tcPr>
            <w:tcW w:type="dxa" w:w="2160"/>
            <w:tcBorders>
              <w:top w:val="single" w:sz="6" w:color="D9D9E0"/>
              <w:left w:val="single" w:sz="6" w:color="D9D9E0"/>
              <w:bottom w:val="single" w:sz="6" w:color="D9D9E0"/>
              <w:right w:val="single" w:sz="6" w:color="D9D9E0"/>
            </w:tcBorders>
            <w:shd w:val="clear" w:fill="F4F4F7"/>
          </w:tcPr>
          <w:p>
            <w:pPr>
              <w:spacing w:before="50" w:after="50"/>
            </w:pPr>
            <w:r>
              <w:rPr>
                <w:b w:val="0"/>
              </w:rPr>
              <w:t>5 escalated by routing and 0 blocked by a guardrail; 0 tickets were blocked because a check could not run (fail-safe), not because it found a fault.</w:t>
            </w:r>
          </w:p>
        </w:tc>
      </w:tr>
      <w:tr>
        <w:tc>
          <w:tcPr>
            <w:tcW w:type="dxa" w:w="2304"/>
            <w:tcBorders>
              <w:top w:val="single" w:sz="6" w:color="D9D9E0"/>
              <w:left w:val="single" w:sz="6" w:color="D9D9E0"/>
              <w:bottom w:val="single" w:sz="6" w:color="D9D9E0"/>
              <w:right w:val="single" w:sz="6" w:color="D9D9E0"/>
            </w:tcBorders>
          </w:tcPr>
          <w:p>
            <w:pPr>
              <w:spacing w:before="50" w:after="50"/>
            </w:pPr>
            <w:r>
              <w:rPr>
                <w:sz w:val="15"/>
              </w:rPr>
              <w:t>Classification precision</w:t>
            </w:r>
          </w:p>
        </w:tc>
        <w:tc>
          <w:tcPr>
            <w:tcW w:type="dxa" w:w="1296"/>
            <w:tcBorders>
              <w:top w:val="single" w:sz="6" w:color="D9D9E0"/>
              <w:left w:val="single" w:sz="6" w:color="D9D9E0"/>
              <w:bottom w:val="single" w:sz="6" w:color="D9D9E0"/>
              <w:right w:val="single" w:sz="6" w:color="D9D9E0"/>
            </w:tcBorders>
          </w:tcPr>
          <w:p>
            <w:pPr>
              <w:spacing w:before="50" w:after="50"/>
            </w:pPr>
            <w:r>
              <w:rPr>
                <w:sz w:val="15"/>
              </w:rPr>
              <w:t>—</w:t>
            </w:r>
          </w:p>
        </w:tc>
        <w:tc>
          <w:tcPr>
            <w:tcW w:type="dxa" w:w="1080"/>
            <w:tcBorders>
              <w:top w:val="single" w:sz="6" w:color="D9D9E0"/>
              <w:left w:val="single" w:sz="6" w:color="D9D9E0"/>
              <w:bottom w:val="single" w:sz="6" w:color="D9D9E0"/>
              <w:right w:val="single" w:sz="6" w:color="D9D9E0"/>
            </w:tcBorders>
          </w:tcPr>
          <w:p>
            <w:pPr>
              <w:spacing w:before="50" w:after="50"/>
            </w:pPr>
            <w:r>
              <w:rPr>
                <w:sz w:val="15"/>
              </w:rPr>
              <w:t>85%</w:t>
            </w:r>
          </w:p>
        </w:tc>
        <w:tc>
          <w:tcPr>
            <w:tcW w:type="dxa" w:w="1080"/>
            <w:tcBorders>
              <w:top w:val="single" w:sz="6" w:color="D9D9E0"/>
              <w:left w:val="single" w:sz="6" w:color="D9D9E0"/>
              <w:bottom w:val="single" w:sz="6" w:color="D9D9E0"/>
              <w:right w:val="single" w:sz="6" w:color="D9D9E0"/>
            </w:tcBorders>
          </w:tcPr>
          <w:p>
            <w:pPr>
              <w:spacing w:before="50" w:after="50"/>
            </w:pPr>
            <w:r>
              <w:rPr>
                <w:b/>
              </w:rPr>
              <w:t>75.0% mean over 4 classes; 3 of 4 at ≥85% — NOT MET</w:t>
            </w:r>
          </w:p>
        </w:tc>
        <w:tc>
          <w:tcPr>
            <w:tcW w:type="dxa" w:w="1728"/>
            <w:tcBorders>
              <w:top w:val="single" w:sz="6" w:color="D9D9E0"/>
              <w:left w:val="single" w:sz="6" w:color="D9D9E0"/>
              <w:bottom w:val="single" w:sz="6" w:color="D9D9E0"/>
              <w:right w:val="single" w:sz="6" w:color="D9D9E0"/>
            </w:tcBorders>
          </w:tcPr>
          <w:p>
            <w:pPr>
              <w:spacing w:before="50" w:after="50"/>
            </w:pPr>
            <w:r>
              <w:rPr>
                <w:b w:val="0"/>
              </w:rPr>
              <w:t>Per-class n: median 1; 4 classes have fewer than 5 tickets, so per-class figures are indicative only</w:t>
            </w:r>
          </w:p>
        </w:tc>
        <w:tc>
          <w:tcPr>
            <w:tcW w:type="dxa" w:w="2160"/>
            <w:tcBorders>
              <w:top w:val="single" w:sz="6" w:color="D9D9E0"/>
              <w:left w:val="single" w:sz="6" w:color="D9D9E0"/>
              <w:bottom w:val="single" w:sz="6" w:color="D9D9E0"/>
              <w:right w:val="single" w:sz="6" w:color="D9D9E0"/>
            </w:tcBorders>
          </w:tcPr>
          <w:p>
            <w:pPr>
              <w:spacing w:before="50" w:after="50"/>
            </w:pPr>
            <w:r>
              <w:rPr>
                <w:b w:val="0"/>
              </w:rPr>
              <w:t>Weakest: authentication_failure 0% (n=1); api_key_issue 100% (n=1); api_usage_question 100% (n=1). Overall intent accuracy 60.0%. The target is per class, so it is met only if every class reaches 85%.</w:t>
            </w:r>
          </w:p>
        </w:tc>
      </w:tr>
      <w:tr>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t>Hallucination rate</w:t>
            </w:r>
          </w:p>
        </w:tc>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5"/>
              </w:rPr>
              <w:t>—</w:t>
            </w:r>
          </w:p>
        </w:tc>
        <w:tc>
          <w:tcPr>
            <w:tcW w:type="dxa" w:w="1080"/>
            <w:tcBorders>
              <w:top w:val="single" w:sz="6" w:color="D9D9E0"/>
              <w:left w:val="single" w:sz="6" w:color="D9D9E0"/>
              <w:bottom w:val="single" w:sz="6" w:color="D9D9E0"/>
              <w:right w:val="single" w:sz="6" w:color="D9D9E0"/>
            </w:tcBorders>
            <w:shd w:val="clear" w:fill="F4F4F7"/>
          </w:tcPr>
          <w:p>
            <w:pPr>
              <w:spacing w:before="50" w:after="50"/>
            </w:pPr>
            <w:r>
              <w:rPr>
                <w:sz w:val="15"/>
              </w:rPr>
              <w:t>≤ 5%</w:t>
            </w:r>
          </w:p>
        </w:tc>
        <w:tc>
          <w:tcPr>
            <w:tcW w:type="dxa" w:w="1080"/>
            <w:tcBorders>
              <w:top w:val="single" w:sz="6" w:color="D9D9E0"/>
              <w:left w:val="single" w:sz="6" w:color="D9D9E0"/>
              <w:bottom w:val="single" w:sz="6" w:color="D9D9E0"/>
              <w:right w:val="single" w:sz="6" w:color="D9D9E0"/>
            </w:tcBorders>
            <w:shd w:val="clear" w:fill="F4F4F7"/>
          </w:tcPr>
          <w:p>
            <w:pPr>
              <w:spacing w:before="50" w:after="50"/>
            </w:pPr>
            <w:r>
              <w:rPr>
                <w:b/>
              </w:rPr>
              <w:t>Not measured to method — NOT MEASURED</w:t>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b w:val="0"/>
              </w:rPr>
              <w:t>—</w:t>
            </w:r>
          </w:p>
        </w:tc>
        <w:tc>
          <w:tcPr>
            <w:tcW w:type="dxa" w:w="2160"/>
            <w:tcBorders>
              <w:top w:val="single" w:sz="6" w:color="D9D9E0"/>
              <w:left w:val="single" w:sz="6" w:color="D9D9E0"/>
              <w:bottom w:val="single" w:sz="6" w:color="D9D9E0"/>
              <w:right w:val="single" w:sz="6" w:color="D9D9E0"/>
            </w:tcBorders>
            <w:shd w:val="clear" w:fill="F4F4F7"/>
          </w:tcPr>
          <w:p>
            <w:pPr>
              <w:spacing w:before="50" w:after="50"/>
            </w:pPr>
            <w:r>
              <w:rPr>
                <w:b w:val="0"/>
              </w:rPr>
              <w:t>The Framework requires at least fifty responses assessed independently by two people, with their agreement reported. This project had one human assessor. Nearest evidence (B-18, drafts from b21_openai_80_20260914): one human found an unsupported claim in 1 of 50 drafts; the LLM judge in 5 of 50; the judge failed calibration (pooled Spearman 0.3492 against 0.70).</w:t>
            </w:r>
          </w:p>
        </w:tc>
      </w:tr>
      <w:tr>
        <w:tc>
          <w:tcPr>
            <w:tcW w:type="dxa" w:w="2304"/>
            <w:tcBorders>
              <w:top w:val="single" w:sz="6" w:color="D9D9E0"/>
              <w:left w:val="single" w:sz="6" w:color="D9D9E0"/>
              <w:bottom w:val="single" w:sz="6" w:color="D9D9E0"/>
              <w:right w:val="single" w:sz="6" w:color="D9D9E0"/>
            </w:tcBorders>
          </w:tcPr>
          <w:p>
            <w:pPr>
              <w:spacing w:before="50" w:after="50"/>
            </w:pPr>
            <w:r>
              <w:rPr>
                <w:sz w:val="15"/>
              </w:rPr>
              <w:t>Citation accuracy</w:t>
            </w:r>
          </w:p>
        </w:tc>
        <w:tc>
          <w:tcPr>
            <w:tcW w:type="dxa" w:w="1296"/>
            <w:tcBorders>
              <w:top w:val="single" w:sz="6" w:color="D9D9E0"/>
              <w:left w:val="single" w:sz="6" w:color="D9D9E0"/>
              <w:bottom w:val="single" w:sz="6" w:color="D9D9E0"/>
              <w:right w:val="single" w:sz="6" w:color="D9D9E0"/>
            </w:tcBorders>
          </w:tcPr>
          <w:p>
            <w:pPr>
              <w:spacing w:before="50" w:after="50"/>
            </w:pPr>
            <w:r>
              <w:rPr>
                <w:sz w:val="15"/>
              </w:rPr>
              <w:t>—</w:t>
            </w:r>
          </w:p>
        </w:tc>
        <w:tc>
          <w:tcPr>
            <w:tcW w:type="dxa" w:w="1080"/>
            <w:tcBorders>
              <w:top w:val="single" w:sz="6" w:color="D9D9E0"/>
              <w:left w:val="single" w:sz="6" w:color="D9D9E0"/>
              <w:bottom w:val="single" w:sz="6" w:color="D9D9E0"/>
              <w:right w:val="single" w:sz="6" w:color="D9D9E0"/>
            </w:tcBorders>
          </w:tcPr>
          <w:p>
            <w:pPr>
              <w:spacing w:before="50" w:after="50"/>
            </w:pPr>
            <w:r>
              <w:rPr>
                <w:sz w:val="15"/>
              </w:rPr>
              <w:t>95%</w:t>
            </w:r>
          </w:p>
        </w:tc>
        <w:tc>
          <w:tcPr>
            <w:tcW w:type="dxa" w:w="1080"/>
            <w:tcBorders>
              <w:top w:val="single" w:sz="6" w:color="D9D9E0"/>
              <w:left w:val="single" w:sz="6" w:color="D9D9E0"/>
              <w:bottom w:val="single" w:sz="6" w:color="D9D9E0"/>
              <w:right w:val="single" w:sz="6" w:color="D9D9E0"/>
            </w:tcBorders>
          </w:tcPr>
          <w:p>
            <w:pPr>
              <w:spacing w:before="50" w:after="50"/>
            </w:pPr>
            <w:r>
              <w:rPr>
                <w:b/>
              </w:rPr>
              <w:t>Not measured to method — NOT MEASURED</w:t>
            </w:r>
          </w:p>
        </w:tc>
        <w:tc>
          <w:tcPr>
            <w:tcW w:type="dxa" w:w="1728"/>
            <w:tcBorders>
              <w:top w:val="single" w:sz="6" w:color="D9D9E0"/>
              <w:left w:val="single" w:sz="6" w:color="D9D9E0"/>
              <w:bottom w:val="single" w:sz="6" w:color="D9D9E0"/>
              <w:right w:val="single" w:sz="6" w:color="D9D9E0"/>
            </w:tcBorders>
          </w:tcPr>
          <w:p>
            <w:pPr>
              <w:spacing w:before="50" w:after="50"/>
            </w:pPr>
            <w:r>
              <w:rPr>
                <w:b w:val="0"/>
              </w:rPr>
              <w:t>—</w:t>
            </w:r>
          </w:p>
        </w:tc>
        <w:tc>
          <w:tcPr>
            <w:tcW w:type="dxa" w:w="2160"/>
            <w:tcBorders>
              <w:top w:val="single" w:sz="6" w:color="D9D9E0"/>
              <w:left w:val="single" w:sz="6" w:color="D9D9E0"/>
              <w:bottom w:val="single" w:sz="6" w:color="D9D9E0"/>
              <w:right w:val="single" w:sz="6" w:color="D9D9E0"/>
            </w:tcBorders>
          </w:tcPr>
          <w:p>
            <w:pPr>
              <w:spacing w:before="50" w:after="50"/>
            </w:pPr>
            <w:r>
              <w:rPr>
                <w:b w:val="0"/>
              </w:rPr>
              <w:t>The Framework checks each citation against the sentence it is attached to. Sentence-level support was not assessed. Nearest evidence: the cited ARTICLE was one the labels expect in 100.0% of citations over 1 drafts (recall 100.0%) — a check of the right source, not of support.</w:t>
            </w:r>
          </w:p>
        </w:tc>
      </w:tr>
      <w:tr>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t>Latency p95</w:t>
            </w:r>
          </w:p>
        </w:tc>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5"/>
              </w:rPr>
              <w:t>—</w:t>
            </w:r>
          </w:p>
        </w:tc>
        <w:tc>
          <w:tcPr>
            <w:tcW w:type="dxa" w:w="1080"/>
            <w:tcBorders>
              <w:top w:val="single" w:sz="6" w:color="D9D9E0"/>
              <w:left w:val="single" w:sz="6" w:color="D9D9E0"/>
              <w:bottom w:val="single" w:sz="6" w:color="D9D9E0"/>
              <w:right w:val="single" w:sz="6" w:color="D9D9E0"/>
            </w:tcBorders>
            <w:shd w:val="clear" w:fill="F4F4F7"/>
          </w:tcPr>
          <w:p>
            <w:pPr>
              <w:spacing w:before="50" w:after="50"/>
            </w:pPr>
            <w:r>
              <w:rPr>
                <w:sz w:val="15"/>
              </w:rPr>
              <w:t>&lt; 3 s</w:t>
            </w:r>
          </w:p>
        </w:tc>
        <w:tc>
          <w:tcPr>
            <w:tcW w:type="dxa" w:w="1080"/>
            <w:tcBorders>
              <w:top w:val="single" w:sz="6" w:color="D9D9E0"/>
              <w:left w:val="single" w:sz="6" w:color="D9D9E0"/>
              <w:bottom w:val="single" w:sz="6" w:color="D9D9E0"/>
              <w:right w:val="single" w:sz="6" w:color="D9D9E0"/>
            </w:tcBorders>
            <w:shd w:val="clear" w:fill="F4F4F7"/>
          </w:tcPr>
          <w:p>
            <w:pPr>
              <w:spacing w:before="50" w:after="50"/>
            </w:pPr>
            <w:r>
              <w:rPr>
                <w:b/>
              </w:rPr>
              <w:t>195.2 s — NOT MET</w:t>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b w:val="0"/>
              </w:rPr>
              <w:t>n=5 live tickets; max 195.2 s</w:t>
            </w:r>
          </w:p>
        </w:tc>
        <w:tc>
          <w:tcPr>
            <w:tcW w:type="dxa" w:w="2160"/>
            <w:tcBorders>
              <w:top w:val="single" w:sz="6" w:color="D9D9E0"/>
              <w:left w:val="single" w:sz="6" w:color="D9D9E0"/>
              <w:bottom w:val="single" w:sz="6" w:color="D9D9E0"/>
              <w:right w:val="single" w:sz="6" w:color="D9D9E0"/>
            </w:tcBorders>
            <w:shd w:val="clear" w:fill="F4F4F7"/>
          </w:tcPr>
          <w:p>
            <w:pPr>
              <w:spacing w:before="50" w:after="50"/>
            </w:pPr>
            <w:r>
              <w:rPr>
                <w:b w:val="0"/>
              </w:rPr>
              <w:t>End to end per ticket, including retrieval and every model call, run in sequence. Models: nvidia/nemotron-3-super-120b-a12b:free drafting, nex-agi/nex-n2.5-pro:free guardrails.</w:t>
            </w:r>
          </w:p>
        </w:tc>
      </w:tr>
      <w:tr>
        <w:tc>
          <w:tcPr>
            <w:tcW w:type="dxa" w:w="2304"/>
            <w:tcBorders>
              <w:top w:val="single" w:sz="6" w:color="D9D9E0"/>
              <w:left w:val="single" w:sz="6" w:color="D9D9E0"/>
              <w:bottom w:val="single" w:sz="6" w:color="D9D9E0"/>
              <w:right w:val="single" w:sz="6" w:color="D9D9E0"/>
            </w:tcBorders>
          </w:tcPr>
          <w:p>
            <w:pPr>
              <w:spacing w:before="50" w:after="50"/>
            </w:pPr>
            <w:r>
              <w:rPr>
                <w:sz w:val="15"/>
              </w:rPr>
              <w:t>Private data occurrences</w:t>
            </w:r>
          </w:p>
        </w:tc>
        <w:tc>
          <w:tcPr>
            <w:tcW w:type="dxa" w:w="1296"/>
            <w:tcBorders>
              <w:top w:val="single" w:sz="6" w:color="D9D9E0"/>
              <w:left w:val="single" w:sz="6" w:color="D9D9E0"/>
              <w:bottom w:val="single" w:sz="6" w:color="D9D9E0"/>
              <w:right w:val="single" w:sz="6" w:color="D9D9E0"/>
            </w:tcBorders>
          </w:tcPr>
          <w:p>
            <w:pPr>
              <w:spacing w:before="50" w:after="50"/>
            </w:pPr>
            <w:r>
              <w:rPr>
                <w:sz w:val="15"/>
              </w:rPr>
              <w:t>—</w:t>
            </w:r>
          </w:p>
        </w:tc>
        <w:tc>
          <w:tcPr>
            <w:tcW w:type="dxa" w:w="1080"/>
            <w:tcBorders>
              <w:top w:val="single" w:sz="6" w:color="D9D9E0"/>
              <w:left w:val="single" w:sz="6" w:color="D9D9E0"/>
              <w:bottom w:val="single" w:sz="6" w:color="D9D9E0"/>
              <w:right w:val="single" w:sz="6" w:color="D9D9E0"/>
            </w:tcBorders>
          </w:tcPr>
          <w:p>
            <w:pPr>
              <w:spacing w:before="50" w:after="50"/>
            </w:pPr>
            <w:r>
              <w:rPr>
                <w:sz w:val="15"/>
              </w:rPr>
              <w:t>0</w:t>
            </w:r>
          </w:p>
        </w:tc>
        <w:tc>
          <w:tcPr>
            <w:tcW w:type="dxa" w:w="1080"/>
            <w:tcBorders>
              <w:top w:val="single" w:sz="6" w:color="D9D9E0"/>
              <w:left w:val="single" w:sz="6" w:color="D9D9E0"/>
              <w:bottom w:val="single" w:sz="6" w:color="D9D9E0"/>
              <w:right w:val="single" w:sz="6" w:color="D9D9E0"/>
            </w:tcBorders>
          </w:tcPr>
          <w:p>
            <w:pPr>
              <w:spacing w:before="50" w:after="50"/>
            </w:pPr>
            <w:r>
              <w:rPr>
                <w:b w:val="0"/>
              </w:rPr>
              <w:t>0 — MET</w:t>
            </w:r>
          </w:p>
        </w:tc>
        <w:tc>
          <w:tcPr>
            <w:tcW w:type="dxa" w:w="1728"/>
            <w:tcBorders>
              <w:top w:val="single" w:sz="6" w:color="D9D9E0"/>
              <w:left w:val="single" w:sz="6" w:color="D9D9E0"/>
              <w:bottom w:val="single" w:sz="6" w:color="D9D9E0"/>
              <w:right w:val="single" w:sz="6" w:color="D9D9E0"/>
            </w:tcBorders>
          </w:tcPr>
          <w:p>
            <w:pPr>
              <w:spacing w:before="50" w:after="50"/>
            </w:pPr>
            <w:r>
              <w:rPr>
                <w:b w:val="0"/>
              </w:rPr>
              <w:t>Automated scan of all 0 sent replies; manual sample review: not done</w:t>
            </w:r>
          </w:p>
        </w:tc>
        <w:tc>
          <w:tcPr>
            <w:tcW w:type="dxa" w:w="2160"/>
            <w:tcBorders>
              <w:top w:val="single" w:sz="6" w:color="D9D9E0"/>
              <w:left w:val="single" w:sz="6" w:color="D9D9E0"/>
              <w:bottom w:val="single" w:sz="6" w:color="D9D9E0"/>
              <w:right w:val="single" w:sz="6" w:color="D9D9E0"/>
            </w:tcBorders>
          </w:tcPr>
          <w:p>
            <w:pPr>
              <w:spacing w:before="50" w:after="50"/>
            </w:pPr>
            <w:r>
              <w:rPr>
                <w:b w:val="0"/>
              </w:rPr>
              <w:t>The scan uses the PII guardrail's own patterns (email, API key, phone, account number), independently of the judge's verdict. The guardrail blocked 0 drafts for private data before sending.</w:t>
            </w:r>
          </w:p>
        </w:tc>
      </w:tr>
      <w:tr>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t>Cross-group variation</w:t>
            </w:r>
          </w:p>
        </w:tc>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5"/>
              </w:rPr>
              <w:t>—</w:t>
            </w:r>
          </w:p>
        </w:tc>
        <w:tc>
          <w:tcPr>
            <w:tcW w:type="dxa" w:w="1080"/>
            <w:tcBorders>
              <w:top w:val="single" w:sz="6" w:color="D9D9E0"/>
              <w:left w:val="single" w:sz="6" w:color="D9D9E0"/>
              <w:bottom w:val="single" w:sz="6" w:color="D9D9E0"/>
              <w:right w:val="single" w:sz="6" w:color="D9D9E0"/>
            </w:tcBorders>
            <w:shd w:val="clear" w:fill="F4F4F7"/>
          </w:tcPr>
          <w:p>
            <w:pPr>
              <w:spacing w:before="50" w:after="50"/>
            </w:pPr>
            <w:r>
              <w:rPr>
                <w:sz w:val="15"/>
              </w:rPr>
              <w:t>&lt; 5 pts</w:t>
            </w:r>
          </w:p>
        </w:tc>
        <w:tc>
          <w:tcPr>
            <w:tcW w:type="dxa" w:w="1080"/>
            <w:tcBorders>
              <w:top w:val="single" w:sz="6" w:color="D9D9E0"/>
              <w:left w:val="single" w:sz="6" w:color="D9D9E0"/>
              <w:bottom w:val="single" w:sz="6" w:color="D9D9E0"/>
              <w:right w:val="single" w:sz="6" w:color="D9D9E0"/>
            </w:tcBorders>
            <w:shd w:val="clear" w:fill="F4F4F7"/>
          </w:tcPr>
          <w:p>
            <w:pPr>
              <w:spacing w:before="50" w:after="50"/>
            </w:pPr>
            <w:r>
              <w:rPr>
                <w:b/>
              </w:rPr>
              <w:t>Not measured — NOT MEASURED</w:t>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b w:val="0"/>
              </w:rPr>
              <w:t>Every segment under n=10</w:t>
            </w:r>
          </w:p>
        </w:tc>
        <w:tc>
          <w:tcPr>
            <w:tcW w:type="dxa" w:w="2160"/>
            <w:tcBorders>
              <w:top w:val="single" w:sz="6" w:color="D9D9E0"/>
              <w:left w:val="single" w:sz="6" w:color="D9D9E0"/>
              <w:bottom w:val="single" w:sz="6" w:color="D9D9E0"/>
              <w:right w:val="single" w:sz="6" w:color="D9D9E0"/>
            </w:tcBorders>
            <w:shd w:val="clear" w:fill="F4F4F7"/>
          </w:tcPr>
          <w:p>
            <w:pPr>
              <w:spacing w:before="50" w:after="50"/>
            </w:pPr>
            <w:r>
              <w:rPr>
                <w:b w:val="0"/>
              </w:rPr>
              <w:t>No segment reached the audit's minimum size.</w:t>
            </w:r>
          </w:p>
        </w:tc>
      </w:tr>
    </w:tbl>
    <w:p>
      <w:pPr>
        <w:spacing w:after="80"/>
      </w:pPr>
    </w:p>
    <w:tbl>
      <w:tblPr>
        <w:tblW w:type="auto" w:w="0"/>
        <w:tblLook w:firstColumn="1" w:firstRow="1" w:lastColumn="0" w:lastRow="0" w:noHBand="0" w:noVBand="1" w:val="04A0"/>
      </w:tblPr>
      <w:tblGrid>
        <w:gridCol w:w="9648"/>
      </w:tblGrid>
      <w:tr>
        <w:tc>
          <w:tcPr>
            <w:tcW w:type="dxa" w:w="9648"/>
            <w:shd w:val="clear" w:fill="FDEDE1"/>
            <w:tcBorders>
              <w:top w:val="nil"/>
              <w:left w:val="nil"/>
              <w:bottom w:val="nil"/>
              <w:right w:val="nil"/>
            </w:tcBorders>
          </w:tcPr>
          <w:p>
            <w:pPr>
              <w:spacing w:before="140" w:after="60"/>
            </w:pPr>
            <w:r>
              <w:rPr>
                <w:b/>
                <w:color w:val="E8660A"/>
                <w:sz w:val="21"/>
              </w:rPr>
              <w:t>The sentence your report needs</w:t>
            </w:r>
          </w:p>
          <w:p>
            <w:pPr>
              <w:spacing w:after="160"/>
            </w:pPr>
            <w:r>
              <w:rPr>
                <w:color w:val="333344"/>
                <w:sz w:val="20"/>
              </w:rPr>
              <w:t>Somewhere in your evaluation section there should be a sentence beginning: the figures above should be treated with caution because. Every evaluation has limits. Naming yours demonstrates that you understand what you measured, and its absence suggests you do not.</w:t>
            </w:r>
          </w:p>
        </w:tc>
      </w:tr>
    </w:tbl>
    <w:p>
      <w:pPr>
        <w:spacing w:after="40"/>
      </w:pPr>
    </w:p>
    <w:sectPr w:rsidR="00FC693F" w:rsidRPr="0006063C" w:rsidSect="00034616">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4A4A63"/>
        <w:sz w:val="15"/>
      </w:rPr>
      <w:t>Forward Deployed AI Engineering  ·  Evaluation Framework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Calibri" w:hAnsi="Calibri"/>
      <w:color w:val="2222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