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Two: Requirements</w:t>
      </w:r>
    </w:p>
    <w:p>
      <w:pPr>
        <w:spacing w:after="280"/>
        <w:jc w:val="center"/>
        <w:pBdr>
          <w:bottom w:val="single" w:sz="10" w:space="6" w:color="E8660A"/>
        </w:pBdr>
      </w:pPr>
      <w:r>
        <w:rPr>
          <w:color w:val="E8660A"/>
          <w:sz w:val="26"/>
        </w:rPr>
        <w:t>The product requirements document you write from your findings</w:t>
      </w:r>
    </w:p>
    <w:p>
      <w:pPr>
        <w:spacing w:after="400"/>
        <w:jc w:val="center"/>
      </w:pPr>
      <w:r>
        <w:rPr>
          <w:i/>
          <w:color w:val="4A4A63"/>
          <w:sz w:val="21"/>
        </w:rPr>
        <w:t>Everything here must trace back to your discovery workbook. A requirement that</w:t>
        <w:br/>
        <w:t>cannot be traced is a preference, and preferences do not belong in a PRD.</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ONE  ·  DAYS FOUR AND FIVE</w:t>
            </w:r>
          </w:p>
        </w:tc>
      </w:tr>
    </w:tbl>
    <w:p>
      <w:r>
        <w:br w:type="page"/>
      </w:r>
    </w:p>
    <w:p>
      <w:pPr>
        <w:spacing w:before="440" w:after="60"/>
        <w:pBdr>
          <w:bottom w:val="single" w:sz="8" w:space="6" w:color="E8660A"/>
        </w:pBdr>
      </w:pPr>
      <w:r>
        <w:rPr>
          <w:b/>
          <w:color w:val="1A1A2E"/>
          <w:sz w:val="34"/>
        </w:rPr>
        <w:t>What this document is and why it matters</w:t>
      </w:r>
    </w:p>
    <w:p>
      <w:pPr>
        <w:spacing w:after="140"/>
      </w:pPr>
      <w:r>
        <w:rPr>
          <w:i w:val="0"/>
          <w:sz w:val="21"/>
        </w:rPr>
        <w:t>A product requirements document states what is being built, for whom, and how anyone will know when it is finished. It is not a design document and it is not a plan. It should be specific enough that two different engineers reading it would build broadly the same thing, and general enough that it does not dictate how they do it.</w:t>
      </w:r>
    </w:p>
    <w:p>
      <w:pPr>
        <w:spacing w:after="140"/>
      </w:pPr>
      <w:r>
        <w:rPr>
          <w:i w:val="0"/>
          <w:sz w:val="21"/>
        </w:rPr>
        <w:t>You will write version one at the end of week one and you will revise it during week two. That revision is compulsory. Write this version with the expectation that parts of it will turn out to be wrong, and record your assumptions clearly so that you can tell which ones failed when they do.</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requirements document is expected to change once building starts.</w:t>
      </w:r>
    </w:p>
    <w:p>
      <w:r>
        <w:br w:type="page"/>
      </w:r>
    </w:p>
    <w:p>
      <w:pPr>
        <w:spacing w:before="440" w:after="60"/>
        <w:pBdr>
          <w:bottom w:val="single" w:sz="8" w:space="6" w:color="E8660A"/>
        </w:pBdr>
      </w:pPr>
      <w:r>
        <w:rPr>
          <w:b/>
          <w:color w:val="E8660A"/>
          <w:sz w:val="34"/>
        </w:rPr>
        <w:t xml:space="preserve">1   </w:t>
      </w:r>
      <w:r>
        <w:rPr>
          <w:b/>
          <w:color w:val="1A1A2E"/>
          <w:sz w:val="34"/>
        </w:rPr>
        <w:t>Document control</w:t>
      </w:r>
    </w:p>
    <w:tbl>
      <w:tblPr>
        <w:tblW w:type="auto" w:w="0"/>
        <w:jc w:val="center"/>
        <w:tblLayout w:type="fixed"/>
        <w:tblLook w:firstColumn="1" w:firstRow="1" w:lastColumn="0" w:lastRow="0" w:noHBand="0" w:noVBand="1" w:val="04A0"/>
      </w:tblPr>
      <w:tblGrid>
        <w:gridCol w:w="4824"/>
        <w:gridCol w:w="4824"/>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Version</w:t>
            </w:r>
          </w:p>
        </w:tc>
        <w:tc>
          <w:tcPr>
            <w:tcW w:type="dxa" w:w="676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2.3.1 (rolling — D-02a distance-metric ADR accepted 2026-09-03 with cosine space + threshold 0.25 by measurement; PRD Table 9 Q7 resolved 2026-09-03 as DEFERRED)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Author</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Alok Kulkarni</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8"/>
              </w:rPr>
              <w:t>Date</w:t>
            </w:r>
          </w:p>
        </w:tc>
        <w:tc>
          <w:tcPr>
            <w:tcW w:type="dxa" w:w="6768"/>
            <w:tcBorders>
              <w:top w:val="single" w:sz="6" w:color="D9D9E0"/>
              <w:left w:val="single" w:sz="6" w:color="D9D9E0"/>
              <w:bottom w:val="single" w:sz="6" w:color="D9D9E0"/>
              <w:right w:val="single" w:sz="6" w:color="D9D9E0"/>
            </w:tcBorders>
            <w:shd w:val="clear" w:fill="F4F4F7"/>
          </w:tcPr>
          <w:p>
            <w:pPr>
              <w:spacing w:before="50" w:after="50"/>
            </w:pPr>
            <w:r>
              <w:rPr>
                <w:sz w:val="18"/>
              </w:rPr>
              <w:t>2026-08-29 (v1); revisions from 2026-08-31 onwards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Status</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Rolling revision — v2 in progress; see Stage 5 revision log for the current change set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8"/>
              </w:rPr>
              <w:t>Approver</w:t>
            </w:r>
          </w:p>
        </w:tc>
        <w:tc>
          <w:tcPr>
            <w:tcW w:type="dxa" w:w="6768"/>
            <w:tcBorders>
              <w:top w:val="single" w:sz="6" w:color="D9D9E0"/>
              <w:left w:val="single" w:sz="6" w:color="D9D9E0"/>
              <w:bottom w:val="single" w:sz="6" w:color="D9D9E0"/>
              <w:right w:val="single" w:sz="6" w:color="D9D9E0"/>
            </w:tcBorders>
            <w:shd w:val="clear" w:fill="F4F4F7"/>
          </w:tcPr>
          <w:p>
            <w:pPr>
              <w:spacing w:before="50" w:after="50"/>
            </w:pPr>
            <w:r>
              <w:rPr>
                <w:sz w:val="18"/>
              </w:rPr>
              <w:t>Self (individual capstone project)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8"/>
              </w:rPr>
              <w:t>Distribution</w:t>
            </w:r>
          </w:p>
        </w:tc>
        <w:tc>
          <w:tcPr>
            <w:tcW w:type="dxa" w:w="6768"/>
            <w:tcBorders>
              <w:top w:val="single" w:sz="6" w:color="D9D9E0"/>
              <w:left w:val="single" w:sz="6" w:color="D9D9E0"/>
              <w:bottom w:val="single" w:sz="6" w:color="D9D9E0"/>
              <w:right w:val="single" w:sz="6" w:color="D9D9E0"/>
            </w:tcBorders>
          </w:tcPr>
          <w:p>
            <w:pPr>
              <w:spacing w:before="50" w:after="50"/>
            </w:pPr>
            <w:r>
              <w:rPr>
                <w:sz w:val="18"/>
              </w:rPr>
              <w:t>FDE Capstone submission archive</w:t>
            </w:r>
          </w:p>
        </w:tc>
      </w:tr>
    </w:tbl>
    <w:p>
      <w:pPr>
        <w:spacing w:after="80"/>
      </w:pPr>
    </w:p>
    <w:p>
      <w:pPr>
        <w:spacing w:before="440" w:after="60"/>
        <w:pBdr>
          <w:bottom w:val="single" w:sz="8" w:space="6" w:color="E8660A"/>
        </w:pBdr>
      </w:pPr>
      <w:r>
        <w:rPr>
          <w:b/>
          <w:color w:val="E8660A"/>
          <w:sz w:val="34"/>
        </w:rPr>
        <w:t xml:space="preserve">2   </w:t>
      </w:r>
      <w:r>
        <w:rPr>
          <w:b/>
          <w:color w:val="1A1A2E"/>
          <w:sz w:val="34"/>
        </w:rPr>
        <w:t>The problem in one paragraph</w:t>
      </w:r>
    </w:p>
    <w:p>
      <w:pPr>
        <w:spacing w:after="140"/>
      </w:pPr>
      <w:r>
        <w:rPr>
          <w:i w:val="0"/>
          <w:sz w:val="21"/>
        </w:rPr>
        <w:t>Copy across the paragraph you wrote at the end of your discovery workbook. If you find yourself wanting to improve it as you copy, go back and improve it in the workbook first, so that the two do not drift apart.</w:t>
      </w:r>
    </w:p>
    <w:tbl>
      <w:tblPr>
        <w:tblW w:type="auto" w:w="0"/>
        <w:jc w:val="center"/>
        <w:tblLayout w:type="fixed"/>
        <w:tblLook w:firstColumn="1" w:firstRow="1" w:lastColumn="0" w:lastRow="0" w:noHBand="0" w:noVBand="1" w:val="04A0"/>
      </w:tblPr>
      <w:tblGrid>
        <w:gridCol w:w="9648"/>
      </w:tblGrid>
      <w:tr>
        <w:tc>
          <w:tcPr>
            <w:tcW w:type="dxa" w:w="9648"/>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Problem statement</w:t>
            </w:r>
          </w:p>
        </w:tc>
      </w:tr>
      <w:tr>
        <w:tc>
          <w:tcPr>
            <w:tcW w:type="dxa" w:w="9648"/>
            <w:tcBorders>
              <w:top w:val="single" w:sz="6" w:color="D9D9E0"/>
              <w:left w:val="single" w:sz="6" w:color="D9D9E0"/>
              <w:bottom w:val="single" w:sz="6" w:color="D9D9E0"/>
              <w:right w:val="single" w:sz="6" w:color="D9D9E0"/>
            </w:tcBorders>
          </w:tcPr>
          <w:p>
            <w:pPr>
              <w:spacing w:before="50" w:after="50"/>
            </w:pPr>
            <w:r>
              <w:rPr>
                <w:sz w:val="18"/>
              </w:rPr>
              <w:t>CloudServe's support team receives roughly 500 tickets a week across four channels. About seven in ten of these have an answer that already exists in the company's twenty-nine reviewed knowledge-base articles, yet only 44% of tickets are resolved on the first contact. The gap is not a shortage of answers but a failure of retrieval. Agents cannot find their own articles in the internal search and rebuild answers from personal notes, and customers, one in six of whom starts by searching the documentation and gives up, wait an average of eight hours for a response that reproduces material already in front of them. When tickets do reach a second-tier engineer, they arrive as forwarded threads with no summary and no attached documentation, which turns roughly 38% of escalations into avoidable ones and returns the same question to the customer a second time. The system to build (working name: CloudServe Draft) is not a chatbot. It is a retrieval-first assistant that: drafts a cited answer for tickets whose expected route is auto-respond and where calibrated confidence exceeds a threshold set from data; hands drafts and retrieved passages to tier one when confidence is borderline; enriches tier-two escalations with retrieved documentation and the tier-one uncertainty flag; and always escalates the four categories where automation is not appropriate (compliance requests, security incidents, feature requests, unclear requests), regardless of confidence. The Q3 retrieval pilot (TF-IDF hit@3 = 93.6% on 357 answerable tickets) shows the corpus is retrievable with sparse methods; the system's value therefore lies in the routing, drafting, guardrail and audit-log layer sitting above retrieval, not in retrieval itself.</w:t>
            </w:r>
          </w:p>
        </w:tc>
      </w:tr>
      <w:tr>
        <w:tc>
          <w:tcPr>
            <w:tcW w:type="dxa" w:w="9648"/>
            <w:tcBorders>
              <w:top w:val="single" w:sz="6" w:color="D9D9E0"/>
              <w:left w:val="single" w:sz="6" w:color="D9D9E0"/>
              <w:bottom w:val="single" w:sz="6" w:color="D9D9E0"/>
              <w:right w:val="single" w:sz="6" w:color="D9D9E0"/>
            </w:tcBorders>
            <w:shd w:val="clear" w:fill="F4F4F7"/>
          </w:tcPr>
          <w:p>
            <w:pPr>
              <w:spacing w:before="50" w:after="50"/>
            </w:pPr>
            <w:r>
              <w:rPr>
                <w:sz w:val="18"/>
              </w:rPr>
            </w:r>
          </w:p>
        </w:tc>
      </w:tr>
    </w:tbl>
    <w:p>
      <w:pPr>
        <w:spacing w:after="80"/>
      </w:pPr>
    </w:p>
    <w:p>
      <w:pPr>
        <w:spacing w:before="440" w:after="60"/>
        <w:pBdr>
          <w:bottom w:val="single" w:sz="8" w:space="6" w:color="E8660A"/>
        </w:pBdr>
      </w:pPr>
      <w:r>
        <w:rPr>
          <w:b/>
          <w:color w:val="E8660A"/>
          <w:sz w:val="34"/>
        </w:rPr>
        <w:t xml:space="preserve">3   </w:t>
      </w:r>
      <w:r>
        <w:rPr>
          <w:b/>
          <w:color w:val="1A1A2E"/>
          <w:sz w:val="34"/>
        </w:rPr>
        <w:t>Who this is for</w:t>
      </w:r>
    </w:p>
    <w:p>
      <w:pPr>
        <w:spacing w:after="140"/>
      </w:pPr>
      <w:r>
        <w:rPr>
          <w:i w:val="0"/>
          <w:sz w:val="21"/>
        </w:rPr>
        <w:t>Describe each group of users separately. A requirement that serves everybody usually serves nobody particularly well.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User group</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need from this system</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they currently do instead</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know it worked for them</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Customers raising tickets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A response within the SLA that answers the ticket, states its uncertainty and cites its source. Non-fluent English speakers need the same quality of response as fluent ones.</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Wait 8-12h on average; often self-search first and give up. Frustration when the reply reproduces material they already searched.</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Time to first substantive reply drops from 214 min median toward under 60. Repeat-contact rate drops from 22% to under 15%. Rubric-scored CSAT proxy rises from 2.97 baseline.</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Tier one support agents</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A drafted answer with the relevant document attached, not a fully automated reply. The system should reduce time on known-pattern tickets from 4-5 min toward 1-2 min.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Recognise the pattern, hunt in a personal snippet file, write from memory, sometimes escalate rather than send when uncertain.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Fewer than 20% of drafts require significant edit before send (rubric-scored on a sample). Zero drafts sent to customer without agent review when confidence is in the review band.</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Tier two support engineers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Escalations that arrive with a draft, the retrieved documents, the tier-one uncertainty flag and any classifier alternatives already logged.</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Receive forwarded threads with no summary; re-ask the customer questions the customer already answered; re-read the documentation from scratch.</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Escalation resolution time down by at least 30% on avoidable-escalation samples (Daniel's cohort). Fewer than 10% of escalations trigger a customer re-ask.</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The technical writer (documentation owner)</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Every automated response cites the specific article and section it came from, so 'article wrong' and 'system misread the article' can be told apart. Zero uncontrolled retrieval from unreviewed private notes.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Writes and reviews 29 articles that the support team does not use internally. No feedback loop when an article is wrong.</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100% of auto-responses carry a resolvable doc_id citation. Every response the writer flags as 'article wrong' vs 'system misread' can be routed to the correct fix.</w:t>
            </w:r>
          </w:p>
        </w:tc>
      </w:tr>
      <w:tr>
        <w:tc>
          <w:tcPr>
            <w:tcW w:type="dxa" w:w="2016"/>
            <w:tcBorders>
              <w:top w:val="single" w:sz="6" w:color="D9D9E0"/>
              <w:left w:val="single" w:sz="6" w:color="D9D9E0"/>
              <w:bottom w:val="single" w:sz="6" w:color="D9D9E0"/>
              <w:right w:val="single" w:sz="6" w:color="D9D9E0"/>
            </w:tcBorders>
          </w:tcPr>
          <w:p>
            <w:pPr>
              <w:spacing w:before="50" w:after="50"/>
            </w:pPr>
            <w:r>
              <w:rPr>
                <w:sz w:val="16"/>
              </w:rPr>
              <w:t>The head of support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First contact resolution rises. Reply time falls. The four always-escalate intents are never auto-answered. The system can explain any decision to the autumn compliance auditor.</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Reports response time (contractual) but privately cares about FCR. Has no visibility into what is inside the escalation queue.</w:t>
            </w:r>
          </w:p>
        </w:tc>
        <w:tc>
          <w:tcPr>
            <w:tcW w:type="dxa" w:w="2448"/>
            <w:tcBorders>
              <w:top w:val="single" w:sz="6" w:color="D9D9E0"/>
              <w:left w:val="single" w:sz="6" w:color="D9D9E0"/>
              <w:bottom w:val="single" w:sz="6" w:color="D9D9E0"/>
              <w:right w:val="single" w:sz="6" w:color="D9D9E0"/>
            </w:tcBorders>
          </w:tcPr>
          <w:p>
            <w:pPr>
              <w:spacing w:before="50" w:after="50"/>
            </w:pPr>
            <w:r>
              <w:rPr>
                <w:sz w:val="16"/>
              </w:rPr>
              <w:t>FCR rises from 44% to 60%+. Median time to first reply drops from 214 min to under 60 min. Every automated decision reconstructable from a persistent log with prompt_version, requirement_ids and sources_used.</w:t>
            </w:r>
          </w:p>
        </w:tc>
      </w:tr>
      <w:tr>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The compliance auditor (autumn review)</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Every automated decision reconstructable months later: input, prediction, confidence, sources cited, threshold applied, action taken, reason, guardrail results, prompt version, requirement IDs.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Currently no automated decisions; the audit surface is the ticket history alone.</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6"/>
              </w:rPr>
              <w:t>100% of decisions logged. Reconciliation of logged decisions against tickets processed passes at end of every run (A8). Zero unlogged decisions in the full evaluation run.</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Functional requirements</w:t>
      </w:r>
    </w:p>
    <w:p>
      <w:pPr>
        <w:spacing w:after="140"/>
      </w:pPr>
      <w:r>
        <w:rPr>
          <w:i w:val="0"/>
          <w:sz w:val="21"/>
        </w:rPr>
        <w:t>Each requirement gets an identifier, a statement, a priority and a link back to the discovery evidence that produced it. The identifiers matter because your specifications, your prompts and your test cases will all refer to them.</w:t>
      </w:r>
    </w:p>
    <w:p>
      <w:pPr>
        <w:spacing w:after="140"/>
      </w:pPr>
      <w:r>
        <w:rPr>
          <w:i w:val="0"/>
          <w:sz w:val="21"/>
        </w:rPr>
        <w:t>Use the priority scale consistently. Must means the system is not acceptable without it. Should means it is expected but could be deferred with a stated consequence. Could means it would add value if time allows. Will not means it has been considered and deliberately excluded, and recording those is as useful as recording the rest.</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7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ID</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Requirement</w:t>
            </w:r>
          </w:p>
        </w:tc>
        <w:tc>
          <w:tcPr>
            <w:tcW w:type="dxa" w:w="9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Priority</w:t>
            </w:r>
          </w:p>
        </w:tc>
        <w:tc>
          <w:tcPr>
            <w:tcW w:type="dxa" w:w="187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Discovery evidence</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Acceptance criteria</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FR-01</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system SHALL accept tickets from the four channels {email, chat, docs_comment, forum} and produce one normalised Ticket object preserving `channel`, `body`, `received_at` and all customer segment fields. Evaluation-only fields (`labels.*`, `history.*`) SHALL NOT be carried on the Ticket; the evaluation harness reads them directly from the raw record.</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#1 (Marcus row on the four channels); #2 (channel split row).</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A2 (four channels ingested). A ticket from each of the four channels is passed in. All four produce a Ticket object with `channel` set. No channel-specific exception raised.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ingest step SHALL accept an empty subject (chat channel is always empty per the data) and an empty body (unseen in dev set but possible in hidden set) without raising, recording the anomaly in a Ticket.warnings list.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#2, EV-DATA-11 (empty subject = 155/155 on chat).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A2. Tickets with empty subject and/or empty body are ingested. Body-empty case populates Ticket.warnings=['empty_body']. No exception propagates.</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FR-03</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ingest step SHALL preserve the original body text under Ticket.original_body and expose the cleaned text as Ticket.body, so downstream stages can inspect either.</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EV-M3 (Marcus on wrong answers being publicly screenshottable - provenance matters for post-hoc audit).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Ticket.original_body equals the raw input. Ticket.body may be cleaned but preserves the intent.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classify every ticket with an intent from the closed set of 22 known classes plus 'unknown', an urgency from {high, medium, low}, and a numeric confidence in [0, 1]. The classifier SHALL receive only the ticket's channel, subject, and body from the ingest step (per FR-01/02/03). Customer segment fields (customer_tier, customer_region, customer_name, language_fluency) SHALL NOT be exposed to the classifier. Tier-aware policy, where used, SHALL be applied downstream in the router (FR-09) and not embedded in classification.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EV-S3 (7-of-10 known patterns Sofia sees repeatedly); #2 row on the 22 intent classes; EV-M4 (enterprise cannot regress); EV-DATA-06/07/08 (fairness segments — informs the blind-classifier design).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A3 (classification with numeric confidence). Output includes {intent, urgency, confidence, alternatives[]}. confidence in [0,1]. Alternatives list is not empty when the winner is below 0.9. Verified via unit test: given a raw ticket record, the classifier call receives only channel/subject/body — asserted by inspection of src/classify.py load path and covered by tests/test_classify.py::test_blind_to_segment.</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FR-05</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classifier SHALL return `intent='unknown'` with `confidence=0.0` when the model provider fails or returns malformed output, rather than raise. The fallback SHALL be logged with a reason.</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EV-M3 (Marcus: rather nothing than wrong).</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A11 (graceful degradation). With the model provider disconnected, the classifier returns a ClassificationResult with intent='unknown' and a non-null error field. No exception surfaces.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FR-06</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retriever SHALL return ranked passages (or an empty list) from the indexed 29-article corpus, each carrying a resolvable doc_id and a similarity score.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#2 (doc corpus row); EV-I1 (29 articles per Ines); Q3 pilot findings (workbooks/q3_findings.md).</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A4 (retrieval returns identifiable passages). Every returned Passage has a doc_id present in documentation.json. The list is sorted by descending score. Zero passages are a valid return.</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FR-07</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retriever SHALL return an empty list when no passage's similarity score crosses the configured RETRIEVAL_THRESHOLD, rather than returning the top-K regardless.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EV-I3 (Ines: manufacturing an answer for a not-in-corpus question is doing the wrong thing).</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A4. For a synthetic query that matches nothing (e.g., 'lorem ipsum'), retriever returns []. Downstream, this triggers escalation via the router.</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FR-08</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Chunking strategy SHALL be fixed 800-character windows with 120-character overlap, indexed at build time only (not per request).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Q3 pilot (workbooks/q3_findings.md): fixed_800_120 achieved hit@3=93.6% vs section_aware 92.4% on 357 answerable tickets.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index_docs.py produces the Chroma index in one run. Per-request retrieval hits the persisted index.</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FR-09</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The router SHALL be deterministic: identical (classification, retrieval_result, ticket) input SHALL produce identical routing decisions and reasons.</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EV-M5 (Marcus: compliance review requires explainability - deterministic routing is what makes decisions reproducible for audit).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A5 (routing deterministic). Feeding the same input twice returns identical Route.decision and Route.reason. No hidden state, no random tie-break.</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FR-10</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router SHALL escalate (never auto-respond) any ticket where the classified intent is in the never-auto-respond policy set defined by D-07 (compliance_request, security_incident, feature_request, unclear_request), OR classifier confidence &lt; CONFIDENCE_THRESHOLD, OR retrieval returned an empty passage list, OR any blocking guardrail did not pass, OR the decision-log write for an upstream stage failed (decision_logged=False, per D-03b).</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EV-DATA-10 (17.4% must_not_auto_respond, four intents at 100%); EV-D4 (Daniel's do-not-automate list); EV-M3 (rather nothing than wrong).</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each triggering condition, verify with a fixture that the routing action is 'escalate' (or 'block' for a guardrail failure) and that the reason names the trigger. The router SHALL NOT read labels.must_not_auto_respond — that field is evaluation ground truth and is not carried on the Ticket (FR-01 v2).</w:t>
            </w:r>
          </w:p>
        </w:tc>
      </w:tr>
      <w:tr>
        <w:tc>
          <w:tcPr>
            <w:tcW w:type="dxa" w:w="792"/>
            <w:tcBorders>
              <w:top w:val="single" w:sz="6" w:color="D9D9E0"/>
              <w:left w:val="single" w:sz="6" w:color="D9D9E0"/>
              <w:bottom w:val="single" w:sz="6" w:color="D9D9E0"/>
              <w:right w:val="single" w:sz="6" w:color="D9D9E0"/>
            </w:tcBorders>
          </w:tcPr>
          <w:p>
            <w:pPr>
              <w:spacing w:before="50" w:after="50"/>
            </w:pPr>
            <w:r>
              <w:rPr>
                <w:sz w:val="16"/>
              </w:rPr>
              <w:t>FR-11</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Escalations SHALL carry an EscalationBundle: the retrieved passages, the classifier's top-3 alternatives, any draft the generator produced, and the tier-one uncertainty flag if any.</w:t>
            </w:r>
          </w:p>
        </w:tc>
        <w:tc>
          <w:tcPr>
            <w:tcW w:type="dxa" w:w="936"/>
            <w:tcBorders>
              <w:top w:val="single" w:sz="6" w:color="D9D9E0"/>
              <w:left w:val="single" w:sz="6" w:color="D9D9E0"/>
              <w:bottom w:val="single" w:sz="6" w:color="D9D9E0"/>
              <w:right w:val="single" w:sz="6" w:color="D9D9E0"/>
            </w:tcBorders>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tcPr>
          <w:p>
            <w:pPr>
              <w:spacing w:before="50" w:after="50"/>
            </w:pPr>
            <w:r>
              <w:rPr>
                <w:sz w:val="16"/>
              </w:rPr>
              <w:t>EV-D1 (Daniel: escalations arrive as forwarded tickets with no summary); EV-D3 (would move 2x faster with context). EV-DATA-04 (38% of historical escalations avoidable); EV-DATA-03 (24% of correct escalations still doc-backed and need context).</w:t>
            </w:r>
          </w:p>
        </w:tc>
        <w:tc>
          <w:tcPr>
            <w:tcW w:type="dxa" w:w="3024"/>
            <w:tcBorders>
              <w:top w:val="single" w:sz="6" w:color="D9D9E0"/>
              <w:left w:val="single" w:sz="6" w:color="D9D9E0"/>
              <w:bottom w:val="single" w:sz="6" w:color="D9D9E0"/>
              <w:right w:val="single" w:sz="6" w:color="D9D9E0"/>
            </w:tcBorders>
          </w:tcPr>
          <w:p>
            <w:pPr>
              <w:spacing w:before="50" w:after="50"/>
            </w:pPr>
            <w:r>
              <w:rPr>
                <w:sz w:val="16"/>
              </w:rPr>
              <w:t>Every escalation record in the decision log has non-empty sources_used and (where the classifier confidence was low but non-zero) a draft in the payload.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router SHALL write a human-readable `reason` field to every routing decision, in language a support manager could act on (not a numeric code).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(Marcus: compliance review requires explainability); EV-R2 (Ravi wants uncertainty stated in a form he can calibrate).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Every decision-log row's `reason` is at least 5 words and states a concrete cause: e.g. 'auto_respond: confidence 0.87 above 0.80 threshold; retrieval matched DOC-DEPLOY-001 with score 0.72'.</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FR-13</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SHALL produce a JSON response with fields {answer, citations, confidence, unknown}. Every doc_id in citations SHALL be a member of the doc_ids present in the retrieval result for this ticket.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EV-I2 (Ines: citations back to specific articles distinguish 'article wrong' vs 'system misread'); EV-R2 (Ravi: 'here is the page it came from').</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A6 (citations resolve). For 100 fixture tickets, every citations value is a subset of the retrieval-result doc_ids. No hallucinated citations. Enforced in code, not only by prompt.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SHALL emit `unknown=true` and no answer when retrieval returned no passages OR when the model cannot ground its response, rather than fabricating content.</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EV-I3 (Ines: don't manufacture answers).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For empty retrieval input, generator returns {answer: '', citations: [], unknown: true}. For grounded generation with no support, unknown=true.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FR-15</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generator prompt SHALL delimit the ticket text with markers and instruct the model to ignore instructions that appear within them. Prompt injection SHALL not alter the response schema, citations, or the unknown flag.</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(Marcus: a prompt-injection attack produces exactly the 'confidently wrong' outcome he fears).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(guardrail integrity). Injection test cases (in tests/) attempt to redirect the model. Response JSON schema remains valid; citations still resolve; unknown flag unchanged.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FR-16</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PII guardrail SHALL run on every generated response before send and SHALL BLOCK responses containing emails, API-key patterns, phone numbers, account numbers, or personal names other than the ticket's own customer_name.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R-02 in Stage 1 risk register (private info in reply); EV-M5 (compliance review, autumn).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crafted response containing 'test@example.com' triggers block=true. The decision log records the guardrail hit. The ticket routes to escalate.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FR-17</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grounding guardrail SHALL check that every factual claim in the response has a supporting span in the cited passage. Responses failing this check SHALL be BLOCKED, not warned.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EV-I3 (don't manufacture); R-01 in Stage 1 risk register (confidently incorrect answers).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A6, A7. For a fixture where the response asserts 'released in version 4.2' but no passage contains '4.2', the guardrail blocks. Decision log carries the unsupported-claim list.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FR-18</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An instruction-integrity guardrail SHALL detect and block responses where the ticket content appears to have redirected the system's behaviour (schema change, new persona, off-topic).</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(a redirected system produces the confidently-wrong outcome Marcus fears).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For the injection fixture body ('Ignore prior instructions...'), the guardrail's result is passed=false, blocking=true.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FR-19</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 confidence-floor guardrail SHALL block any auto-respond action whose recorded classification confidence is missing or below CONFIDENCE_THRESHOLD, regardless of upstream router decision.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Should</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(rather nothing than wrong); EV-S5 (Sofia: prefer draft + doc over unconditional auto-send); R-01 in Stage 1 risk register.</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A7 defence-in-depth. If a synthetic scenario sets classifier confidence to None but router says auto_respond, the guardrail overrides to escalate. Decision log records the guardrail as the cause.</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FR-20</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persist one decision-log record per ticket per stage into a SQLite decisions table, matching the Governance Framework schema. Log write SHALL precede response send.</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(Marcus: autumn compliance review, must be explainable).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A8 (persistent log reconciles). For every ticket in a validation run, count of matching decision_id rows equals count of tickets processed. Reconciliation report at run-end passes.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FR-21</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evaluation harness SHALL be invocable as a single documented command that takes an input JSON path and an output directory as arguments and runs unattended over the full input file.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EV-M5 (compliance review needs reproducible runs); EV-M2 (Marcus reports numbers - single-command run makes reproduction cheap).</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A9 (single-command unattended). `python -m evaluation.harness --input &lt;path&gt; --output &lt;dir&gt;` starts the run, processes every ticket, produces one output row per ticket, exits 0 on success.</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harness SHALL produce a metrics_report.json at the end of every run containing counts, business metrics (FCR proxy, TTR, escalation rate, repeat-contact proxy), technical metrics (intent P/R per class, retrieval hit rate, latency p50/p95) and governance metrics (decisions logged, guardrail activations by type, PII detections).</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EV-M2 (Marcus cares more about FCR than reply time - report must lead with FCR); EV-M5 (compliance review reproduces the numbers).</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A10 (metrics report auto-generated). metrics_report.json is written on completion and contains every required key. All numbers computed by code, not by hand.</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FR-23</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system SHALL handle model provider outage, rate limiting, malformed provider output, and retrieval-index-unavailable conditions without crashing. Each degraded ticket SHALL be logged with the degradation reason and routed to escalate.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EV-M3 (crashing sends nothing, but a degraded system that reports its degradation is better than one that hides the failure).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A11 (degrade gracefully). With provider disconnected mid-run, remaining tickets complete. Each carries action='escalate', reason='degraded: provider unreachable'. The run's final exit code is 0.</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FR-24</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The test suite SHALL run with `python -m pytest tests/ -v` in a fresh checkout and complete without network access. Slow tests (marked pytest.mark.slow) SHALL be skipped in that mode.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Must</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EV-S5 (Sofia: doesn't want to pick up the angry follow-up for something she did not write - tests are the safety net that prevents that).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A12 (tests pass with one command). In CI, pytest completes green in under 60 seconds using fake model client fixtures. No test hits network by default.</w:t>
            </w:r>
          </w:p>
        </w:tc>
      </w:tr>
      <w:tr>
        <w:tc>
          <w:tcPr>
            <w:tcW w:type="dxa" w:w="792"/>
            <w:tcBorders>
              <w:top w:val="single" w:sz="6" w:color="D9D9E0"/>
              <w:left w:val="single" w:sz="6" w:color="D9D9E0"/>
              <w:bottom w:val="single" w:sz="6" w:color="D9D9E0"/>
              <w:right w:val="single" w:sz="6" w:color="D9D9E0"/>
            </w:tcBorders>
            <w:shd w:val="clear" w:fill="F4F4F7"/>
          </w:tcPr>
          <w:p>
            <w:pPr>
              <w:spacing w:before="50" w:after="50"/>
            </w:pPr>
            <w:r>
              <w:rPr>
                <w:sz w:val="16"/>
              </w:rPr>
              <w:t>FR-25 (REMOVED 2026-09-02)</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REMOVED. The v2 text said: 'For tickets on docs_comment channel, the ingest step SHALL detect and strip references to the source article (article title, doc_id, URL) from Ticket.body before the retrieval query is formed. Stripped content SHALL be preserved in Ticket.warnings for auditability.' Data check on 2026-09-02 during B-28 implementation: zero of 78 docs_comment tickets in the dev set contain any URL, DOC-XXX-NNN pattern, or article-title mention in body or subject. The FR was written on a plausible-but-unverified assumption; the data does not support it. See Stage 5 revision log for the full reasoning.</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6"/>
              </w:rPr>
              <w:t>N/A (removed)</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6"/>
              </w:rPr>
              <w:t>N/A (removed)</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6"/>
              </w:rPr>
              <w:t>N/A. The docs_comment channel's worst-in-dataset FCR (34.6%) and repeat-contact rate (33.3%) remain a known limitation reported in the fairness audit (backlog item B-24); the root cause is likely selection bias (customers who chose docs_comment already tried self-serve and failed), not confusable references.</w:t>
            </w:r>
          </w:p>
        </w:tc>
      </w:tr>
    </w:tbl>
    <w:p>
      <w:pPr>
        <w:spacing w:after="80"/>
      </w:pPr>
    </w:p>
    <w:p>
      <w:r>
        <w:br w:type="page"/>
      </w:r>
    </w:p>
    <w:p>
      <w:pPr>
        <w:spacing w:before="440" w:after="60"/>
        <w:pBdr>
          <w:bottom w:val="single" w:sz="8" w:space="6" w:color="E8660A"/>
        </w:pBdr>
      </w:pPr>
      <w:r>
        <w:rPr>
          <w:b/>
          <w:color w:val="E8660A"/>
          <w:sz w:val="34"/>
        </w:rPr>
        <w:t xml:space="preserve">5   </w:t>
      </w:r>
      <w:r>
        <w:rPr>
          <w:b/>
          <w:color w:val="1A1A2E"/>
          <w:sz w:val="34"/>
        </w:rPr>
        <w:t>Non-functional requirements</w:t>
      </w:r>
    </w:p>
    <w:p>
      <w:pPr>
        <w:spacing w:after="140"/>
      </w:pPr>
      <w:r>
        <w:rPr>
          <w:i w:val="0"/>
          <w:sz w:val="21"/>
        </w:rPr>
        <w:t>These describe how well the system must do the things it does. They are frequently what distinguishes a demonstration from something that could actually be deployed.</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008"/>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ID</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Category</w:t>
            </w:r>
          </w:p>
        </w:tc>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Requirement</w:t>
            </w:r>
          </w:p>
        </w:tc>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it will be verified</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NFR-01a</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Retrieval - Context Relevance</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For tickets flagged answerable_from_docs=true, at least one passage from a doc_id in expected_doc_ids SHALL be present in the top-3 retrieved passages on at least 90% of the validation set (aggregate floor) AND in the top-5 on at least 90% within each of the 22 intent classes. Documented exception: integration_help may sit below 90% at hit@5 per R-08 (corpus coverage gap — 5 of 16 dev tickets have no covering article in the KB at any rank). Rationale for the hit@5 floor rather than hit@3: D-06's Self-RAG groundedness retry reconsiders the top-5 on the second attempt, so a hit@5 hit with a hit@3 miss is a design feature (retry catches it), not a failure mode. Measurement baselines: TF-IDF hit@3 = 93.6% (Q3 pilot, workbooks/q3_findings.md); dense hit@3 = 95.2% with title-prepending per B-30 (workbooks/b30_findings.md, superseding the 91.0% Monday measurement). [Traces: EV-S3; EV-I2; EV-DATA-02; Q3 pilot; B-07 revisit; B-30.] Cosine-space index + RETRIEVAL_THRESHOLD = 0.25 by measurement per D-02a (2026-09-03) — restores aggregate hit@3 to 94.1% (from a shipped-config silent 52.4% caused by an L2 vs cosine score-scale mismatch). Per-class floor still fails for 5 intents at any threshold (onboarding, integration_help, deployment_failure, api_key_issue, webhook_issue); that is a ranking-quality gap, tracked in the R-08 write-up for integration_help and via the cut-then-possibly-revisit path for B-05.</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Measured by evaluation harness on validation set. Per-intent floor: no intent below 75% hit@3.</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NFR-01b</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Retrieval-Generation - Groundedness</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For every factual claim in a generated response, a supporting span SHALL exist in the retrieved passage set. Groundedness rate SHALL be at least 95% on judge-scored samples.  [Traces: EV-M3 (rather nothing than wrong); EV-I3 (don't manufacture answers); EV-I2 (article vs system-misread distinction).]</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Measured with PR-EVAL-JUDGE-01 across a stratified sample. Judge calibrated to Spearman &gt;= 0.70 vs human raters.</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NFR-01c</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Answer Relevance</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Generated responses SHALL address the ticket's asked question with a mean rubric score of at least 4.0/5 on a stratified sample, scored by an LLM-as-judge calibrated against human raters.  [Traces: EV-R2 (Ravi wants honest, cited responses); EV-M3.]</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Measured with PR-EVAL-JUDGE-01. Response quality checked without reference to retrieved content.</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NFR-02</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Latency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p95 end-to-end response time for a single ticket SHALL be at most 4.0 seconds across the validation set (excluding cold-start of embedding index).  [Traces: EV-S1; EV-S2; EV-M1 (SLA 2h vs actual 8-12h); EV-R1 (waiting cost varies by ticket urgency); EV-DATA-01 (baseline TTR).]</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Reported in metrics_report.json from harness runs. Prometheus histogram in production.</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NFR-03</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Reliability under partial degradation</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The system SHALL complete a full validation set run without crashing, given the model provider returns HTTP 200 on at least 80% of calls. Degraded tickets SHALL be logged and escalated, not dropped.  [Traces: EV-M3 (rather nothing than wrong); EV-M5 (compliance review requires predictability).]</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A11 chaos test: kill model provider on 20% of calls; harness exits 0; every ticket has a decision-log row.</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NFR-04</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Explainability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Every routing decision SHALL include a human-readable reason field. Every decision log entry SHALL be reconstructable by a compliance auditor without access to Claude, LangChain or the codebase.  [Traces: EV-M5 (autumn compliance review); EV-D1 (T2 escalations arrive without reasoning); EV-I2 (article vs misread).]</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Compliance-officer test: hand a random 20-row sample of decisions.db to a non-technical reader; every row is intelligible.</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NFR-05</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Fairness</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Answer quality (rubric-scored) SHALL not vary by more than 15 percentage points across language_fluency segments or customer_region segments on the validation set. For customer_tier segments, the D-05 confidence threshold MAY be tier-differentiated based on measured retrieval quality (B-07 found business-tier hit@3 = 87.0% vs enterprise 94.9%, a 7.9pp gap); however, answer quality within the auto_respond band SHALL NOT vary by more than 10 percentage points across tiers. Retrieval segment measurements SHALL be reported alongside answer-quality measurements to make the trade-off visible in the fairness audit (B-24). [Traces: EV-DATA-06 (language_fluency segments); EV-DATA-07 (region); EV-DATA-08 (tier); EV-DATA-09 (channel); EV-S4 (non-fluent CSAT concern); EV-M4 (enterprise cannot regress); EV-R1 (renewal risk if gap widens); B-07 per-tier retrieval measurement.]</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Segment-wise metrics reported by the harness. Governance Framework fairness table populated from these numbers.</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NFR-06</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Determinism</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Given identical inputs and identical RANDOM_SEED, two consecutive runs SHALL produce identical routing decisions and identical decision-log records (excluding timestamps and UUIDs).  [Traces: EV-M5 (compliance review requires reproducible decisions).]</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Two-run test: hash the decision-log rows minus timestamps and IDs; hashes match.</w:t>
            </w:r>
          </w:p>
        </w:tc>
      </w:tr>
      <w:tr>
        <w:tc>
          <w:tcPr>
            <w:tcW w:type="dxa" w:w="1008"/>
            <w:tcBorders>
              <w:top w:val="single" w:sz="6" w:color="D9D9E0"/>
              <w:left w:val="single" w:sz="6" w:color="D9D9E0"/>
              <w:bottom w:val="single" w:sz="6" w:color="D9D9E0"/>
              <w:right w:val="single" w:sz="6" w:color="D9D9E0"/>
            </w:tcBorders>
          </w:tcPr>
          <w:p>
            <w:pPr>
              <w:spacing w:before="50" w:after="50"/>
            </w:pPr>
            <w:r>
              <w:rPr>
                <w:sz w:val="16"/>
              </w:rPr>
              <w:t>NFR-07</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Confidence calibration</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The classifier's confidence scores SHALL be calibrated within +/- 5 percentage points in the 0.80-0.90 send band on the validation set (i.e. predictions in that band are correct 80-90% of the time).  [Traces: EV-M3 (rather nothing than wrong); EV-S5 (Sofia wants draft + doc, not unconditional auto-send).]</w:t>
            </w:r>
          </w:p>
        </w:tc>
        <w:tc>
          <w:tcPr>
            <w:tcW w:type="dxa" w:w="3600"/>
            <w:tcBorders>
              <w:top w:val="single" w:sz="6" w:color="D9D9E0"/>
              <w:left w:val="single" w:sz="6" w:color="D9D9E0"/>
              <w:bottom w:val="single" w:sz="6" w:color="D9D9E0"/>
              <w:right w:val="single" w:sz="6" w:color="D9D9E0"/>
            </w:tcBorders>
          </w:tcPr>
          <w:p>
            <w:pPr>
              <w:spacing w:before="50" w:after="50"/>
            </w:pPr>
            <w:r>
              <w:rPr>
                <w:sz w:val="16"/>
              </w:rPr>
              <w:t>Bucketed calibration curve computed by harness. Reported in metrics_report.json under `calibration`.</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NFR-08</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Cost</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The full validation set run SHALL complete within the free tier allowance of the chosen provider (OpenRouter free tier for Llama 3.1 8B). No paid-tier calls SHALL be required.  [Traces: EV-DATA-12; EV-M1 (Marcus cannot get additional headcount, so cost must not scale with volume); pack cost-nothing rule.]</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Metrics report includes call counts by stage; token counts logged. Rate-limit backoff is tested end-to-end.</w:t>
            </w:r>
          </w:p>
        </w:tc>
      </w:tr>
      <w:tr>
        <w:tc>
          <w:tcPr>
            <w:tcW w:type="dxa" w:w="1008"/>
            <w:tcBorders>
              <w:top w:val="single" w:sz="6" w:color="D9D9E0"/>
              <w:left w:val="single" w:sz="6" w:color="D9D9E0"/>
              <w:bottom w:val="single" w:sz="6" w:color="D9D9E0"/>
              <w:right w:val="single" w:sz="6" w:color="D9D9E0"/>
            </w:tcBorders>
            <w:shd w:val="clear" w:fill="F4F4F7"/>
          </w:tcPr>
          <w:p>
            <w:pPr>
              <w:spacing w:before="50" w:after="50"/>
            </w:pPr>
            <w:r>
              <w:rPr>
                <w:sz w:val="16"/>
              </w:rPr>
              <w:t>NFR-09</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Auditability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100% of tickets processed by the harness SHALL have a matching decision-log row. Reconciliation SHALL return zero missing entries.  [Traces: EV-M5 (autumn compliance review); EV-D1 (T2 needs the audit trail context is missing today).]</w:t>
            </w:r>
          </w:p>
        </w:tc>
        <w:tc>
          <w:tcPr>
            <w:tcW w:type="dxa" w:w="3600"/>
            <w:tcBorders>
              <w:top w:val="single" w:sz="6" w:color="D9D9E0"/>
              <w:left w:val="single" w:sz="6" w:color="D9D9E0"/>
              <w:bottom w:val="single" w:sz="6" w:color="D9D9E0"/>
              <w:right w:val="single" w:sz="6" w:color="D9D9E0"/>
            </w:tcBorders>
            <w:shd w:val="clear" w:fill="F4F4F7"/>
          </w:tcPr>
          <w:p>
            <w:pPr>
              <w:spacing w:before="50" w:after="50"/>
            </w:pPr>
            <w:r>
              <w:rPr>
                <w:sz w:val="16"/>
              </w:rPr>
              <w:t>harness runs `reconcile()` at end. Exit code 0 requires reconciliation=true.</w:t>
            </w:r>
          </w:p>
        </w:tc>
      </w:tr>
    </w:tbl>
    <w:p>
      <w:pPr>
        <w:spacing w:after="80"/>
      </w:pPr>
    </w:p>
    <w:p>
      <w:pPr>
        <w:spacing w:before="440" w:after="60"/>
        <w:pBdr>
          <w:bottom w:val="single" w:sz="8" w:space="6" w:color="E8660A"/>
        </w:pBdr>
      </w:pPr>
      <w:r>
        <w:rPr>
          <w:b/>
          <w:color w:val="E8660A"/>
          <w:sz w:val="34"/>
        </w:rPr>
        <w:t xml:space="preserve">6   </w:t>
      </w:r>
      <w:r>
        <w:rPr>
          <w:b/>
          <w:color w:val="1A1A2E"/>
          <w:sz w:val="34"/>
        </w:rPr>
        <w:t>What is deliberately out of scope</w:t>
      </w:r>
    </w:p>
    <w:p>
      <w:pPr>
        <w:spacing w:after="140"/>
      </w:pPr>
      <w:r>
        <w:rPr>
          <w:i w:val="0"/>
          <w:sz w:val="21"/>
        </w:rPr>
        <w:t>Recording what you are not building is one of the most valuable things a requirements document does, because it is the section that prevents an argument in week three.</w:t>
      </w:r>
    </w:p>
    <w:tbl>
      <w:tblPr>
        <w:tblW w:type="auto" w:w="0"/>
        <w:jc w:val="center"/>
        <w:tblLayout w:type="fixed"/>
        <w:tblLook w:firstColumn="1" w:firstRow="1" w:lastColumn="0" w:lastRow="0" w:noHBand="0" w:noVBand="1" w:val="04A0"/>
      </w:tblPr>
      <w:tblGrid>
        <w:gridCol w:w="3216"/>
        <w:gridCol w:w="3216"/>
        <w:gridCol w:w="3216"/>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Not building</w:t>
            </w:r>
          </w:p>
        </w:tc>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not</w:t>
            </w:r>
          </w:p>
        </w:tc>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would have to change for this to be reconsidered</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Auto-answering the four must-not-auto-respond intents (compliance_request, security_incident, feature_request, unclear_request).</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EV-DATA-10 (17.4% of tickets, all four intents at 100% must_not_auto_respond). EV-D4 (Daniel's do-not-automate list). Automation of these carries regulatory, contractual or product-management risk that a generative model cannot judge.</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Explicit change of policy from CloudServe or the compliance auditor after autumn review. A future version could route these to a specialist auto-respond path with human confirmation, but this project does not.</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7"/>
              </w:rPr>
              <w:t>Multi-turn conversation / session state.</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The four channels are ticket-shaped (one message in, one response out) per the Build Specification. Chat and forum channels could carry threads but the dataset schema treats each ticket as atomic. Adding session state introduces state-management, memory and identity concerns not in scope.</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Ticket schema extended to include conversation history. Guardrails extended to cross-message groundedness.</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Customer authentication or authorisation.</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The dataset assumes each ticket is legitimately from its stated customer. The pack does not include authentication material. Authorisation checks (e.g. does this customer's tier permit this answer) are out of scope.</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Real deployment against live CloudServe systems where an identity layer exists.</w:t>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7"/>
              </w:rPr>
              <w:t>Answering in languages other than English.</w:t>
            </w:r>
          </w:p>
        </w:tc>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Every ticket in the dataset is in English (non-fluent English is a separate labelled category; not a different language). The KB is English-only.</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Non-English tickets and a translated KB. Extends the fairness NFR significantly.</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Learning from private agent snippet files. [EV-D2]</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EV-D2 (Daniel: private snippet files contain 2+ year-old wrong answers). Training on them scales mistakes.</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A curated, reviewed second corpus derived from the snippet files. Not this project.</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7"/>
              </w:rPr>
              <w:t>Handling documentation updates during a run.</w:t>
            </w:r>
          </w:p>
        </w:tc>
        <w:tc>
          <w:tcPr>
            <w:tcW w:type="dxa" w:w="3312"/>
            <w:tcBorders>
              <w:top w:val="single" w:sz="6" w:color="D9D9E0"/>
              <w:left w:val="single" w:sz="6" w:color="D9D9E0"/>
              <w:bottom w:val="single" w:sz="6" w:color="D9D9E0"/>
              <w:right w:val="single" w:sz="6" w:color="D9D9E0"/>
            </w:tcBorders>
          </w:tcPr>
          <w:p>
            <w:pPr>
              <w:spacing w:before="50" w:after="50"/>
            </w:pPr>
            <w:r>
              <w:rPr>
                <w:sz w:val="17"/>
              </w:rPr>
              <w:t>The KB is indexed once at build time (FR-08). Live re-indexing on doc updates is a Week 2/3 extension.</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Move the indexer behind a webhook. Adds a freshness NFR.</w:t>
            </w:r>
          </w:p>
        </w:tc>
      </w:tr>
    </w:tbl>
    <w:p>
      <w:pPr>
        <w:spacing w:after="80"/>
      </w:pPr>
    </w:p>
    <w:p>
      <w:r>
        <w:br w:type="page"/>
      </w:r>
    </w:p>
    <w:p>
      <w:pPr>
        <w:spacing w:before="440" w:after="60"/>
        <w:pBdr>
          <w:bottom w:val="single" w:sz="8" w:space="6" w:color="E8660A"/>
        </w:pBdr>
      </w:pPr>
      <w:r>
        <w:rPr>
          <w:b/>
          <w:color w:val="E8660A"/>
          <w:sz w:val="34"/>
        </w:rPr>
        <w:t xml:space="preserve">7   </w:t>
      </w:r>
      <w:r>
        <w:rPr>
          <w:b/>
          <w:color w:val="1A1A2E"/>
          <w:sz w:val="34"/>
        </w:rPr>
        <w:t>Assumptions and their consequences</w:t>
      </w:r>
    </w:p>
    <w:p>
      <w:pPr>
        <w:spacing w:after="140"/>
      </w:pPr>
      <w:r>
        <w:rPr>
          <w:i w:val="0"/>
          <w:sz w:val="21"/>
        </w:rPr>
        <w:t>Every assumption you are making is a place where this document could turn out to be wrong. Listing them now is what makes the revision in stage five a considered update rather than a scramble.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believe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happens if it is false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How you will find out</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22 intent classes in labels.intent form a stable closed set: the hidden 120-ticket set uses the same labels. [EV-DATA-05]</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Dataset Guide states the schema is shared across dev, validation and hidden sets.</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classifier's output space is wrong; some tickets fall out; false-negative rate on hidden set spikes.</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First run against the hidden set: any 'unknown' rate materially above dev-set rate indicates schema drift.</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29-article corpus is stable during the assessment window (no articles added or removed).</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No mechanism in the pack updates the corpus.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index_docs would need to re-run mid-cycle. Freshness NFR would become material.</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Trivial to check: any change to documentation.json content-hash between now and submission.</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OpenRouter free tier remains available for Llama 3.1 8B during grading.</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Setup Guide names it as the default. Free tiers change without notice.</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A11 handles it (degrade gracefully). Marks are protected: provider outage during grading is not counted against us per Build Spec section 01.</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Model provider status page; harness run confirms availability just before submission.</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Q3 pilot's TF-IDF baseline (hit@3 = 93.6%) is representative of what the pack's default embedder will achieve on this corpus.</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The two methods use the same 29 articles and 357 answerable ticket queries.</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embedder is worse than TF-IDF; the retrieval NFR baseline is wrong; we need to reconsider D-02 (embedding model).</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First Chroma-based retrieval run on the same 357 tickets; compare hit@3 to 93.6%.</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6"/>
              </w:rPr>
              <w:t>The reference responses in ground_truth_responses.json are correct.</w:t>
            </w:r>
          </w:p>
        </w:tc>
        <w:tc>
          <w:tcPr>
            <w:tcW w:type="dxa" w:w="2304"/>
            <w:tcBorders>
              <w:top w:val="single" w:sz="6" w:color="D9D9E0"/>
              <w:left w:val="single" w:sz="6" w:color="D9D9E0"/>
              <w:bottom w:val="single" w:sz="6" w:color="D9D9E0"/>
              <w:right w:val="single" w:sz="6" w:color="D9D9E0"/>
            </w:tcBorders>
          </w:tcPr>
          <w:p>
            <w:pPr>
              <w:spacing w:before="50" w:after="50"/>
            </w:pPr>
            <w:r>
              <w:rPr>
                <w:sz w:val="16"/>
              </w:rPr>
              <w:t>Written by senior support agents per the pack.</w:t>
            </w:r>
          </w:p>
        </w:tc>
        <w:tc>
          <w:tcPr>
            <w:tcW w:type="dxa" w:w="2592"/>
            <w:tcBorders>
              <w:top w:val="single" w:sz="6" w:color="D9D9E0"/>
              <w:left w:val="single" w:sz="6" w:color="D9D9E0"/>
              <w:bottom w:val="single" w:sz="6" w:color="D9D9E0"/>
              <w:right w:val="single" w:sz="6" w:color="D9D9E0"/>
            </w:tcBorders>
          </w:tcPr>
          <w:p>
            <w:pPr>
              <w:spacing w:before="50" w:after="50"/>
            </w:pPr>
            <w:r>
              <w:rPr>
                <w:sz w:val="16"/>
              </w:rPr>
              <w:t>The judge and rubric are calibrated to the wrong ground truth; every measured number is skewed.</w:t>
            </w:r>
          </w:p>
        </w:tc>
        <w:tc>
          <w:tcPr>
            <w:tcW w:type="dxa" w:w="2160"/>
            <w:tcBorders>
              <w:top w:val="single" w:sz="6" w:color="D9D9E0"/>
              <w:left w:val="single" w:sz="6" w:color="D9D9E0"/>
              <w:bottom w:val="single" w:sz="6" w:color="D9D9E0"/>
              <w:right w:val="single" w:sz="6" w:color="D9D9E0"/>
            </w:tcBorders>
          </w:tcPr>
          <w:p>
            <w:pPr>
              <w:spacing w:before="50" w:after="50"/>
            </w:pPr>
            <w:r>
              <w:rPr>
                <w:sz w:val="16"/>
              </w:rPr>
              <w:t>Sample 20 responses and hand-check against the KB during Week 2.</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hidden set has 120 tickets (per README + Dataset Guide + Project Brief), not 100 (per Project Instructions, Start Here, Evaluation Framework, Build Spec 08).</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The three highest-authority pack documents (README, Dataset Guide, Project Brief) say 120. Four secondary references say 100.</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Harness rate-limit budget is off; total-run wall-clock estimate is off. Neither breaks correctness - the harness accepts an input path.</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First grading run reveals the number. Query the assessment team if we need to know earlier.</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Marcus's estimate that escalations cost about 4x a resolved ticket (EV-M1) is broadly accurate.</w:t>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6"/>
              </w:rPr>
              <w:t>Marcus's interview: 'every ticket that bounces to tier two costs us roughly four times what a resolved one costs'. No cost data in the pack to verify directly.</w:t>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t>The Stage 1 Table 7 effort-vs-volume ranking uses this multiplier. If Marcus is wrong, the ordering of high-effort intents shifts; the automation ROI targets in the report need recalibrating; the routing threshold analysis needs to reweight escalation cost.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Compare (auto_respond count x mean_cost_per_answered) vs (escalate count x mean_cost_per_escalated) after Week 2 pilot with time-tracked runs.</w:t>
            </w:r>
          </w:p>
        </w:tc>
      </w:tr>
    </w:tbl>
    <w:p>
      <w:pPr>
        <w:spacing w:after="80"/>
      </w:pPr>
    </w:p>
    <w:p>
      <w:pPr>
        <w:spacing w:before="440" w:after="60"/>
        <w:pBdr>
          <w:bottom w:val="single" w:sz="8" w:space="6" w:color="E8660A"/>
        </w:pBdr>
      </w:pPr>
      <w:r>
        <w:rPr>
          <w:b/>
          <w:color w:val="E8660A"/>
          <w:sz w:val="34"/>
        </w:rPr>
        <w:t xml:space="preserve">8   </w:t>
      </w:r>
      <w:r>
        <w:rPr>
          <w:b/>
          <w:color w:val="1A1A2E"/>
          <w:sz w:val="34"/>
        </w:rPr>
        <w:t>Success measures</w:t>
      </w:r>
    </w:p>
    <w:p>
      <w:pPr>
        <w:spacing w:after="140"/>
      </w:pPr>
      <w:r>
        <w:rPr>
          <w:i w:val="0"/>
          <w:sz w:val="21"/>
        </w:rPr>
        <w:t>State the measures this system will be judged on, with the baseline and the target for each, and say who is accountable for reporting them.</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Baseline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Target</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Measured how</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Reported by</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First contact resolution</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43.8% (dev set historical)</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60%+ overall; 70%+ on the auto-respond segment (matches historical FCR on that segment).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harness produces `fcr_proxy` from the ticket-outcome column when running against a labelled set. Reported as (auto_respond count) / (total processed).</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Head of Support (Marcus).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Time to first substantive reply</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Median 214 min, mean 422 min (dev set).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Median under 60 min, mean under 180 min for the auto-respond segment.</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records per-ticket latency; median and p95 in metrics_report.json.</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SLA reporting team.</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CSAT (rubric-scored proxy)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Mean 2.97 / 5 (dev set history).</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At least 3.5 / 5 mean overall, no segment more than 15pp below the best segment.</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Sampled responses scored by PR-EVAL-JUDGE-01 (three-dim RAG rubric). Aggregated segment table in metrics_report.json.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Head of Support (Marcus) via Support team.</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Escalation rate</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56.2% overall (dev set).</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Below 40% overall. Zero on tickets that carry must_not_auto_respond=false and are answerable_from_docs=true, provided confidence exceeds threshold.</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routing action counts, cross-tabbed with ticket labels.</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T2 team (Daniel), reported to Marcus.</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Hallucination rate</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Not currently measured; baseline unknown.</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Under 5% on judge-scored stratified samples.</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PR-EVAL-HALLUCINATION-01 extracts claims, checks each against retrieved passages. Reported in metrics_report.json.</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Author (this project) initially; then Ines for corpus-drift diagnosis.</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6"/>
              </w:rPr>
              <w:t>Fairness gap</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6"/>
              </w:rPr>
              <w:t>Non-fluent English retrieves 3.6pp worse than fluent (Q3 pilot). No outcome gap in dev history.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t>No language_fluency / customer_tier / customer_region segment more than 15pp below the best segment on rubric-scored quality.</w:t>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t>harness segments the results table; governance framework fairness section populated automatically.</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6"/>
              </w:rPr>
              <w:t>Author, reviewed by Head of Support and compliance.</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6"/>
              </w:rPr>
              <w:t>Auditability</w:t>
            </w:r>
          </w:p>
        </w:tc>
        <w:tc>
          <w:tcPr>
            <w:tcW w:type="dxa" w:w="1440"/>
            <w:tcBorders>
              <w:top w:val="single" w:sz="6" w:color="D9D9E0"/>
              <w:left w:val="single" w:sz="6" w:color="D9D9E0"/>
              <w:bottom w:val="single" w:sz="6" w:color="D9D9E0"/>
              <w:right w:val="single" w:sz="6" w:color="D9D9E0"/>
            </w:tcBorders>
          </w:tcPr>
          <w:p>
            <w:pPr>
              <w:spacing w:before="50" w:after="50"/>
            </w:pPr>
            <w:r>
              <w:rPr>
                <w:sz w:val="16"/>
              </w:rPr>
              <w:t>None currently. Ticket history is unstructured.</w:t>
            </w:r>
          </w:p>
        </w:tc>
        <w:tc>
          <w:tcPr>
            <w:tcW w:type="dxa" w:w="1296"/>
            <w:tcBorders>
              <w:top w:val="single" w:sz="6" w:color="D9D9E0"/>
              <w:left w:val="single" w:sz="6" w:color="D9D9E0"/>
              <w:bottom w:val="single" w:sz="6" w:color="D9D9E0"/>
              <w:right w:val="single" w:sz="6" w:color="D9D9E0"/>
            </w:tcBorders>
          </w:tcPr>
          <w:p>
            <w:pPr>
              <w:spacing w:before="50" w:after="50"/>
            </w:pPr>
            <w:r>
              <w:rPr>
                <w:sz w:val="16"/>
              </w:rPr>
              <w:t>100% of decisions have a persistent-log row with prompt_version and requirement_ids populated.</w:t>
            </w:r>
          </w:p>
        </w:tc>
        <w:tc>
          <w:tcPr>
            <w:tcW w:type="dxa" w:w="2736"/>
            <w:tcBorders>
              <w:top w:val="single" w:sz="6" w:color="D9D9E0"/>
              <w:left w:val="single" w:sz="6" w:color="D9D9E0"/>
              <w:bottom w:val="single" w:sz="6" w:color="D9D9E0"/>
              <w:right w:val="single" w:sz="6" w:color="D9D9E0"/>
            </w:tcBorders>
          </w:tcPr>
          <w:p>
            <w:pPr>
              <w:spacing w:before="50" w:after="50"/>
            </w:pPr>
            <w:r>
              <w:rPr>
                <w:sz w:val="16"/>
              </w:rPr>
              <w:t>harness runs reconcile() at end. Returns count of missing rows.</w:t>
            </w:r>
          </w:p>
        </w:tc>
        <w:tc>
          <w:tcPr>
            <w:tcW w:type="dxa" w:w="2016"/>
            <w:tcBorders>
              <w:top w:val="single" w:sz="6" w:color="D9D9E0"/>
              <w:left w:val="single" w:sz="6" w:color="D9D9E0"/>
              <w:bottom w:val="single" w:sz="6" w:color="D9D9E0"/>
              <w:right w:val="single" w:sz="6" w:color="D9D9E0"/>
            </w:tcBorders>
          </w:tcPr>
          <w:p>
            <w:pPr>
              <w:spacing w:before="50" w:after="50"/>
            </w:pPr>
            <w:r>
              <w:rPr>
                <w:sz w:val="16"/>
              </w:rPr>
              <w:t>Compliance officer (autumn review).</w:t>
            </w:r>
          </w:p>
        </w:tc>
      </w:tr>
    </w:tbl>
    <w:p>
      <w:pPr>
        <w:spacing w:after="80"/>
      </w:pPr>
    </w:p>
    <w:p>
      <w:pPr>
        <w:spacing w:before="440" w:after="60"/>
        <w:pBdr>
          <w:bottom w:val="single" w:sz="8" w:space="6" w:color="E8660A"/>
        </w:pBdr>
      </w:pPr>
      <w:r>
        <w:rPr>
          <w:b/>
          <w:color w:val="E8660A"/>
          <w:sz w:val="34"/>
        </w:rPr>
        <w:t xml:space="preserve">9   </w:t>
      </w:r>
      <w:r>
        <w:rPr>
          <w:b/>
          <w:color w:val="1A1A2E"/>
          <w:sz w:val="34"/>
        </w:rPr>
        <w:t>Open questions</w:t>
      </w:r>
    </w:p>
    <w:p>
      <w:pPr>
        <w:spacing w:after="140"/>
      </w:pPr>
      <w:r>
        <w:rPr>
          <w:i w:val="0"/>
          <w:sz w:val="21"/>
        </w:rPr>
        <w:t>The things you do not yet know. Each one needs an owner and a date by which it will be resolved, otherwise it will still be open in week three.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316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Why it matters</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Owner</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Resolve by</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Does the pack's default embedder (all-MiniLM-L6-v2) match or beat TF-IDF (hit@3 = 93.6%) on this corpus?</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Whole NFR-01a baseline shifts. If embedder is worse, D-02 ADR needs a rethink.</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ANSWERED 2026-08-31 by backlog item B-07 (workbooks/d02_findings.md; evaluation/results/d02_dense_retrieval.json). Dense MiniLM-L6-v2 hit@3 = 91.0% (within 3pp of TF-IDF 93.6%; better on top-1 and top-5; fairness parity on non-fluent English is the deciding factor). D-02 stands. NFR-01a revised — see Stage 5 revision log.</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Do the four low-hit intents (onboarding, authentication_failure, integration_help, api_key_issue - all under 75% hit@3 on TF-IDF) recover with semantic embeddings or query rewriting?</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Determines whether we need a query-rewriting prompt in the prompt library (would be PR-RETRIEVE-01).</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Author</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ANSWERED (Monday's answer superseded 2026-09-02 by B-30). Onboarding hit@3 was 60.0% on Monday and 90.0% today after title-prepending in the search index. Every other intent hits 100% at hit@3 (compliance_request) or has hit@5 = 1.000 (deployment_failure, authentication_failure, database_issue). Only integration_help still needs a workaround (R-08 corpus coverage gap). PR-RETRIEVE-01 (B-05) is NO LONGER NEEDED and is cut from the plan. Saves 2h.</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Is the hidden evaluation set 100 or 120 tickets (pack contradicts itself)?</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Rate-limit / cost planning for the grading run. Not blocking, but affects the free-tier NFR-08 headroom.</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Assessment team query</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Before Fri 5 Sep (mid-week 2).</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What time zone is the 13 September deadline?</w:t>
            </w:r>
          </w:p>
        </w:tc>
        <w:tc>
          <w:tcPr>
            <w:tcW w:type="dxa" w:w="3168"/>
            <w:tcBorders>
              <w:top w:val="single" w:sz="6" w:color="D9D9E0"/>
              <w:left w:val="single" w:sz="6" w:color="D9D9E0"/>
              <w:bottom w:val="single" w:sz="6" w:color="D9D9E0"/>
              <w:right w:val="single" w:sz="6" w:color="D9D9E0"/>
            </w:tcBorders>
            <w:shd w:val="clear" w:fill="F4F4F7"/>
          </w:tcPr>
          <w:p>
            <w:pPr>
              <w:spacing w:before="50" w:after="50"/>
            </w:pPr>
            <w:r>
              <w:rPr>
                <w:sz w:val="17"/>
              </w:rPr>
              <w:t>Submission planning. Difference between IST and UTC is 5.5 hours; between IST and BST is 4.5.</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Assessment team query</w:t>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7"/>
              </w:rPr>
              <w:t>Before Fri 5 Sep.</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Q6 (added 2026-08-31; downgraded 2026-09-02): ANSWERED 2026-09-04 (B-16 / D-05b): NO — a single threshold for all tiers.</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Was: whether the router carries a lookup table (tier -&gt; threshold) or a single scalar. Now: whether a lookup table is worth the implementation cost given the 1.4pp gap. NFR-05 v2 permits tier variation with a 10pp answer-quality cap. The question stands but is no longer a design blocker.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 (best-effort estimate); no CloudServe interlocutor.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RESOLVED. The B-16 sweep measured auto-respond precision by tier at the selected 0.85 threshold: standard 0.731 (n=42), business 0.778 (n=30), enterprise 0.833 (n=8). The apparent spread rests on an enterprise cell of n=8 where one ticket moves the figure by 12.5 points — a small-sample artefact, not a tier signal. Separately, a tier-differentiated threshold would mean a standard-tier customer needs a higher bar than an enterprise customer with an identical ticket, which NFR-05 constrains and which would need its own justification. Revisit only if a validation set carries ~25+ enterprise tickets. See docs/adr/D-05b-confidence-threshold-measured.md.</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Q6 (added 2026-08-31): ANSWERED 2026-09-04 (B-16 / D-05b): NO — a single threshold for all tiers.</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Feeds D-05 sweep; determines whether the router carries a lookup table (tier -&gt; threshold) or a single scalar. Fairness NFR-05 v2 depends on the answer.</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Author (evaluation harness B-16)</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RESOLVED. The B-16 sweep measured auto-respond precision by tier at the selected 0.85 threshold: standard 0.731 (n=42), business 0.778 (n=30), enterprise 0.833 (n=8). The apparent spread rests on an enterprise cell of n=8 where one ticket moves the figure by 12.5 points — a small-sample artefact, not a tier signal. Separately, a tier-differentiated threshold would mean a standard-tier customer needs a higher bar than an enterprise customer with an identical ticket, which NFR-05 constrains and which would need its own justification. Revisit only if a validation set carries ~25+ enterprise tickets. See docs/adr/D-05b-confidence-threshold-measured.md.</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Q7 (added 2026-09-03): Are FR-GUARD-01..04 (input length/emptiness, prompt-injection heuristics, output PII redaction, retrieval-confidence hard block) in scope for this build, or deferred to future work? Drafted in docs/drafts/masterclass_integration/prd_guardrail_frs.md; never merged into this PRD.</w:t>
              <w:br/>
              <w:br/>
              <w:t>RESOLVED 2026-09-03: DEFERRED to Week 3 candidate. Rationale: Week 2 gate on Friday; FR-16..19 blocking guardrails already cover PII / grounding / instruction-integrity / confidence-floor; FR-GUARD-04 gates on a weak signal (top-score, per D-02a sweep only 14 of 143 non-answerable tickets return zero passages at 0.25); merge cost is asymmetric with unwind cost. Actions taken: FR-GUARD-04 stripped from D-03a and D-05a Constrains lines (notes preserved), tests/test_guardrails.py marked module-skip pending Week 3, Stage 5 Table 3 row logged. Revisit trigger: if B-21 gate exposes an ungrounded-response failure mode that FR-17 doesn't catch.</w:t>
            </w:r>
          </w:p>
        </w:tc>
        <w:tc>
          <w:tcPr>
            <w:tcW w:type="dxa" w:w="3168"/>
            <w:tcBorders>
              <w:top w:val="single" w:sz="6" w:color="D9D9E0"/>
              <w:left w:val="single" w:sz="6" w:color="D9D9E0"/>
              <w:bottom w:val="single" w:sz="6" w:color="D9D9E0"/>
              <w:right w:val="single" w:sz="6" w:color="D9D9E0"/>
            </w:tcBorders>
          </w:tcPr>
          <w:p>
            <w:pPr>
              <w:spacing w:before="50" w:after="50"/>
            </w:pPr>
            <w:r>
              <w:rPr>
                <w:sz w:val="17"/>
              </w:rPr>
              <w:t>(1) GOVERNANCE. Two ACCEPTED ADRs — D-03a and D-05a — already name FR-GUARD-04 in their Constrains lines, and tests/test_guardrails.py already encodes a test contract for all four, so accepted artefacts cite a requirement this PRD does not contain. (2) SEQUENCING. The hard technical dependency is B-11, not B-10: B-11 is where src/generate.py calls into guardrails, so the interface must be settled by then. B-10 is a JSON-contract prompt and does not touch guardrails — it can be written either way. Answering before B-10 is a discipline choice that preserves one backlog row of slack, NOT a blocker. (3) ESTIMATE. Whether FR-GUARD-01..04 REPLACES FR-16..19 or SUPPLEMENTS them changes B-14's 4h estimate materially. B-14 is scoped as 'all five guardrails blocking' (PII, grounding, instruction integrity, tone/scope, confidence floor) at 4h; nine guardrails at 4h is not the same calculation. Two of the four overlap existing FRs — FR-GUARD-03 (output PII redaction) against FR-16 (PII block), and FR-GUARD-02 (prompt-injection heuristics, input side) against FR-18 (instruction integrity, output side) — and two are genuinely new (FR-GUARD-01 input length/emptiness, which also overlaps FR-02's ingest handling; FR-GUARD-04). Note FR-GUARD-03 specifies REDACTION where FR-16 specifies BLOCK: A7 requires at least one guardrail that blocks rather than warns, so a straight replacement there would weaken an acceptance criterion. (4) THRESHOLD. FR-GUARD-04's MIN_RELEVANCE_SCORE and D-02a's RETRIEVAL_THRESHOLD are two gates on the same cosine score scale; the draft's candidate range (0.10-0.35) is exactly what D-02a swept, and D-02a set 0.25 on measured evidence without knowing FR-GUARD-04 existed.</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Alok Kulkarni</w:t>
            </w:r>
          </w:p>
        </w:tc>
        <w:tc>
          <w:tcPr>
            <w:tcW w:type="dxa" w:w="1584"/>
            <w:tcBorders>
              <w:top w:val="single" w:sz="6" w:color="D9D9E0"/>
              <w:left w:val="single" w:sz="6" w:color="D9D9E0"/>
              <w:bottom w:val="single" w:sz="6" w:color="D9D9E0"/>
              <w:right w:val="single" w:sz="6" w:color="D9D9E0"/>
            </w:tcBorders>
          </w:tcPr>
          <w:p>
            <w:pPr>
              <w:spacing w:before="50" w:after="50"/>
            </w:pPr>
            <w:r>
              <w:rPr>
                <w:sz w:val="17"/>
              </w:rPr>
              <w:t>Hard deadline: before B-11 (the guardrail interface only matters once generate.py calls into it). Preferred: before B-10, as discipline — that keeps one row of slack rather than deciding under pressure. URGENCY: B-14 sits on Thursday 3 Sep's row and Friday 4 Sep is the B-21 gate, so any estimate change lands on an already-slipping row with no slack day after it. Whichever way Q7 is answered, re-estimate B-14 in the same pass and record the new figure — do not let Friday discover it. If the answer is 'deferred', strip FR-GUARD-04 from the D-03a and D-05a Constrains lines and re-mark tests/test_guardrails.py as blocked on a deferred FR rather than on B-11.</w:t>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review before you move on</w:t>
            </w:r>
          </w:p>
          <w:p>
            <w:pPr>
              <w:spacing w:after="160"/>
            </w:pPr>
            <w:r>
              <w:rPr>
                <w:color w:val="333344"/>
                <w:sz w:val="20"/>
              </w:rPr>
              <w:t>Read your finished PRD and ask, for each requirement in turn, whether an engineer who had not attended any of your interviews could build it from what is written. Where the answer is no, the requirement is not finished. This check takes twenty minutes and it is the single highest-value thing you can do at the end of week one.</w:t>
            </w:r>
          </w:p>
        </w:tc>
      </w:tr>
    </w:tbl>
    <w:p>
      <w:pPr>
        <w:spacing w:after="4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Two  ·  Product Requirements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