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Microsoft YaHei" w:hAnsi="Microsoft YaHei" w:eastAsia="Microsoft YaHei"/>
          <w:b/>
          <w:i w:val="0"/>
          <w:color w:val="000000"/>
          <w:sz w:val="46"/>
        </w:rPr>
        <w:t>第411批正式公告与第412批公示新能源乘用车车型扫描分析</w:t>
      </w:r>
    </w:p>
    <w:p>
      <w:pPr>
        <w:spacing w:before="160" w:after="80"/>
      </w:pPr>
      <w:r>
        <w:rPr>
          <w:rFonts w:ascii="Microsoft YaHei" w:hAnsi="Microsoft YaHei" w:eastAsia="Microsoft YaHei"/>
          <w:b w:val="0"/>
          <w:i w:val="0"/>
          <w:color w:val="6B7280"/>
          <w:sz w:val="24"/>
        </w:rPr>
        <w:t>数据截至 2026-10-17</w:t>
      </w:r>
    </w:p>
    <w:p>
      <w:r>
        <w:rPr>
          <w:rFonts w:ascii="Microsoft YaHei" w:hAnsi="Microsoft YaHei" w:eastAsia="Microsoft YaHei"/>
          <w:b w:val="0"/>
          <w:i w:val="0"/>
          <w:color w:val="6B7280"/>
          <w:sz w:val="21"/>
        </w:rPr>
        <w:t>正式公告口径：第411批；公示候选口径：第412批</w:t>
      </w:r>
    </w:p>
    <w:p>
      <w:pPr>
        <w:spacing w:after="140" w:line="293" w:lineRule="auto"/>
      </w:pPr>
      <w:r>
        <w:rPr>
          <w:rFonts w:ascii="Microsoft YaHei" w:hAnsi="Microsoft YaHei" w:eastAsia="Microsoft YaHei"/>
          <w:b w:val="0"/>
          <w:i w:val="0"/>
          <w:color w:val="000000"/>
          <w:sz w:val="21"/>
        </w:rPr>
        <w:t>本报告用于识别新批次新能源乘用车的产品结构、主要参数与驱动系统方向。第411批已经形成正式公告，作为本轮结论的主证据；第412批仍处于公示期，仅使用官方公示清单和详情页中已经披露的数据，续航、容量和部分供应商字段将在正式公告发布后复核。</w:t>
      </w:r>
    </w:p>
    <w:p>
      <w:r>
        <w:br w:type="page"/>
      </w:r>
    </w:p>
    <w:p>
      <w:pPr>
        <w:pStyle w:val="Heading1"/>
      </w:pPr>
      <w:r>
        <w:t>结论摘要</w:t>
      </w:r>
    </w:p>
    <w:p>
      <w:pPr>
        <w:spacing w:after="140" w:line="293" w:lineRule="auto"/>
      </w:pPr>
      <w:r>
        <w:rPr>
          <w:rFonts w:ascii="Microsoft YaHei" w:hAnsi="Microsoft YaHei" w:eastAsia="Microsoft YaHei"/>
          <w:b w:val="0"/>
          <w:i w:val="0"/>
          <w:color w:val="000000"/>
          <w:sz w:val="21"/>
        </w:rPr>
        <w:t>411正式公告识别到47个新能源乘用车型号，其中纯电23个、插电混动21个、增程3个。412公示清单识别到58个新能源乘用车型号，其中纯电37个、插电混动15个、增程6个。412公示整体更偏向纯电，但公示详情页尚未统一披露纯电续航和电池容量，因此不能把公示样本与正式公告样本直接等同。</w:t>
      </w:r>
    </w:p>
    <w:p>
      <w:pPr>
        <w:spacing w:after="80" w:line="283" w:lineRule="auto"/>
        <w:ind w:left="317" w:hanging="317"/>
      </w:pPr>
      <w:r>
        <w:rPr>
          <w:rFonts w:ascii="Microsoft YaHei" w:hAnsi="Microsoft YaHei" w:eastAsia="Microsoft YaHei"/>
          <w:b w:val="0"/>
          <w:i w:val="0"/>
          <w:color w:val="000000"/>
          <w:sz w:val="20"/>
        </w:rPr>
        <w:t>1. 411正式公告的动力结构更均衡。纯电占48.9%，插混与增程合计51.1%；412公示中纯电占63.8%，插混与增程合计36.2%。</w:t>
      </w:r>
    </w:p>
    <w:p>
      <w:pPr>
        <w:spacing w:after="80" w:line="283" w:lineRule="auto"/>
        <w:ind w:left="317" w:hanging="317"/>
      </w:pPr>
      <w:r>
        <w:rPr>
          <w:rFonts w:ascii="Microsoft YaHei" w:hAnsi="Microsoft YaHei" w:eastAsia="Microsoft YaHei"/>
          <w:b w:val="0"/>
          <w:i w:val="0"/>
          <w:color w:val="000000"/>
          <w:sz w:val="20"/>
        </w:rPr>
        <w:t>2. 411插混车型明显大电量化。411插混平均纯电续航248.5km、平均电池容量55.5kWh，较410基准的224.9km和43.4kWh继续上移；样本中最高容量达到71.24kWh。</w:t>
      </w:r>
    </w:p>
    <w:p>
      <w:pPr>
        <w:spacing w:after="80" w:line="283" w:lineRule="auto"/>
        <w:ind w:left="317" w:hanging="317"/>
      </w:pPr>
      <w:r>
        <w:rPr>
          <w:rFonts w:ascii="Microsoft YaHei" w:hAnsi="Microsoft YaHei" w:eastAsia="Microsoft YaHei"/>
          <w:b w:val="0"/>
          <w:i w:val="0"/>
          <w:color w:val="000000"/>
          <w:sz w:val="20"/>
        </w:rPr>
        <w:t>3. 412纯电车型继续向高功率集中。在37个纯电样本中，平均电机总功率270.5kW，200kW及以上占有效功率样本的70.3%，多电机车型占有效驱动形式样本的21.6%。</w:t>
      </w:r>
    </w:p>
    <w:p>
      <w:pPr>
        <w:spacing w:after="80" w:line="283" w:lineRule="auto"/>
        <w:ind w:left="317" w:hanging="317"/>
      </w:pPr>
      <w:r>
        <w:rPr>
          <w:rFonts w:ascii="Microsoft YaHei" w:hAnsi="Microsoft YaHei" w:eastAsia="Microsoft YaHei"/>
          <w:b w:val="0"/>
          <w:i w:val="0"/>
          <w:color w:val="000000"/>
          <w:sz w:val="20"/>
        </w:rPr>
        <w:t>4. 412增程车型集中在50kWh以上电池和250km以上纯电续航。公示附件中3个增程样本的纯电续航为251至265km，电池容量为52.01至56.036kWh。</w:t>
      </w:r>
    </w:p>
    <w:p>
      <w:pPr>
        <w:spacing w:after="80" w:line="283" w:lineRule="auto"/>
        <w:ind w:left="317" w:hanging="317"/>
      </w:pPr>
      <w:r>
        <w:rPr>
          <w:rFonts w:ascii="Microsoft YaHei" w:hAnsi="Microsoft YaHei" w:eastAsia="Microsoft YaHei"/>
          <w:b w:val="0"/>
          <w:i w:val="0"/>
          <w:color w:val="000000"/>
          <w:sz w:val="20"/>
        </w:rPr>
        <w:t>5. 后续开发判断需要同时看“驱动功率”和“电池带电量”。411的插混验证了大电池长续航路线，412的纯电高功率和多电机样本则提示中大型车电驱系统需要预留更高的功率上限和平台化扩展空间。</w:t>
      </w:r>
    </w:p>
    <w:p>
      <w:pPr>
        <w:pStyle w:val="Heading1"/>
      </w:pPr>
      <w:r>
        <w:t>数据范围与口径</w:t>
      </w:r>
    </w:p>
    <w:p>
      <w:pPr>
        <w:spacing w:after="140" w:line="293" w:lineRule="auto"/>
      </w:pPr>
      <w:r>
        <w:rPr>
          <w:rFonts w:ascii="Microsoft YaHei" w:hAnsi="Microsoft YaHei" w:eastAsia="Microsoft YaHei"/>
          <w:b w:val="0"/>
          <w:i w:val="0"/>
          <w:color w:val="000000"/>
          <w:sz w:val="21"/>
        </w:rPr>
        <w:t>历史基准来自341至410批权威底表，411采用工业和信息化部正式公告附件与官方车型公示详情页，412采用2026-10-16发布的拟发布内容公示、车辆新产品公示清单和官方详情页。车型范围限定为新能源乘用车，排除燃油车、普通混合动力车、客车、货车、专用车和摩托车。</w:t>
      </w:r>
    </w:p>
    <w:p>
      <w:pPr>
        <w:spacing w:after="140" w:line="293" w:lineRule="auto"/>
      </w:pPr>
      <w:r>
        <w:rPr>
          <w:rFonts w:ascii="Microsoft YaHei" w:hAnsi="Microsoft YaHei" w:eastAsia="Microsoft YaHei"/>
          <w:b w:val="0"/>
          <w:i w:val="0"/>
          <w:color w:val="000000"/>
          <w:sz w:val="21"/>
        </w:rPr>
        <w:t>批次数量按产品型号统计，型号级新增表示该型号未在341至410权威底表中出现，不等同于全新车系或全新品牌。均值只按公告已经披露的有值样本计算，空白和n.a.不按0处理。电池容量优先取正式公告附件，公示车型仅保留官方详情页已经公开的字段。</w:t>
      </w:r>
    </w:p>
    <w:p>
      <w:pPr>
        <w:keepNext/>
        <w:spacing w:before="0" w:after="80"/>
        <w:jc w:val="center"/>
      </w:pPr>
      <w:r>
        <w:rPr>
          <w:rFonts w:ascii="Microsoft YaHei" w:hAnsi="Microsoft YaHei" w:eastAsia="Microsoft YaHei"/>
          <w:b w:val="0"/>
          <w:i/>
          <w:color w:val="6B7280"/>
          <w:sz w:val="18"/>
        </w:rPr>
        <w:t>表1 各批次新能源乘用车扫描范围</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tblHeader w:val="true"/>
          <w:cantSplit w:val="true"/>
        </w:trPr>
        <w:tc>
          <w:tcPr>
            <w:tcW w:type="dxa" w:w="1325"/>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批次</w:t>
            </w:r>
          </w:p>
        </w:tc>
        <w:tc>
          <w:tcPr>
            <w:tcW w:type="dxa" w:w="1469"/>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状态</w:t>
            </w:r>
          </w:p>
        </w:tc>
        <w:tc>
          <w:tcPr>
            <w:tcW w:type="dxa" w:w="1238"/>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NEV乘用车</w:t>
            </w:r>
          </w:p>
        </w:tc>
        <w:tc>
          <w:tcPr>
            <w:tcW w:type="dxa" w:w="893"/>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纯电</w:t>
            </w:r>
          </w:p>
        </w:tc>
        <w:tc>
          <w:tcPr>
            <w:tcW w:type="dxa" w:w="893"/>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插混</w:t>
            </w:r>
          </w:p>
        </w:tc>
        <w:tc>
          <w:tcPr>
            <w:tcW w:type="dxa" w:w="893"/>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增程</w:t>
            </w:r>
          </w:p>
        </w:tc>
        <w:tc>
          <w:tcPr>
            <w:tcW w:type="dxa" w:w="1238"/>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型号级新增</w:t>
            </w:r>
          </w:p>
        </w:tc>
        <w:tc>
          <w:tcPr>
            <w:tcW w:type="dxa" w:w="1958"/>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平均续航口径</w:t>
            </w:r>
          </w:p>
        </w:tc>
      </w:tr>
      <w:tr>
        <w:trPr>
          <w:cantSplit w:val="true"/>
        </w:trPr>
        <w:tc>
          <w:tcPr>
            <w:tcW w:type="dxa" w:w="132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410正式基准</w:t>
            </w:r>
          </w:p>
        </w:tc>
        <w:tc>
          <w:tcPr>
            <w:tcW w:type="dxa" w:w="146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2026-09-18</w:t>
            </w:r>
          </w:p>
        </w:tc>
        <w:tc>
          <w:tcPr>
            <w:tcW w:type="dxa" w:w="123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70</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47</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16</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7</w:t>
            </w:r>
          </w:p>
        </w:tc>
        <w:tc>
          <w:tcPr>
            <w:tcW w:type="dxa" w:w="123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n.a.</w:t>
            </w:r>
          </w:p>
        </w:tc>
        <w:tc>
          <w:tcPr>
            <w:tcW w:type="dxa" w:w="195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8"/>
              </w:rPr>
              <w:t>480.5 km</w:t>
            </w:r>
          </w:p>
        </w:tc>
      </w:tr>
      <w:tr>
        <w:trPr>
          <w:cantSplit w:val="true"/>
        </w:trPr>
        <w:tc>
          <w:tcPr>
            <w:tcW w:type="dxa" w:w="1325"/>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411正式公告</w:t>
            </w:r>
          </w:p>
        </w:tc>
        <w:tc>
          <w:tcPr>
            <w:tcW w:type="dxa" w:w="146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2026-10-16</w:t>
            </w:r>
          </w:p>
        </w:tc>
        <w:tc>
          <w:tcPr>
            <w:tcW w:type="dxa" w:w="1238"/>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47</w:t>
            </w:r>
          </w:p>
        </w:tc>
        <w:tc>
          <w:tcPr>
            <w:tcW w:type="dxa" w:w="893"/>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23</w:t>
            </w:r>
          </w:p>
        </w:tc>
        <w:tc>
          <w:tcPr>
            <w:tcW w:type="dxa" w:w="893"/>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21</w:t>
            </w:r>
          </w:p>
        </w:tc>
        <w:tc>
          <w:tcPr>
            <w:tcW w:type="dxa" w:w="893"/>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3</w:t>
            </w:r>
          </w:p>
        </w:tc>
        <w:tc>
          <w:tcPr>
            <w:tcW w:type="dxa" w:w="1238"/>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26</w:t>
            </w:r>
          </w:p>
        </w:tc>
        <w:tc>
          <w:tcPr>
            <w:tcW w:type="dxa" w:w="1958"/>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8"/>
              </w:rPr>
              <w:t>593.5 km（纯电）</w:t>
            </w:r>
          </w:p>
        </w:tc>
      </w:tr>
      <w:tr>
        <w:trPr>
          <w:cantSplit w:val="true"/>
        </w:trPr>
        <w:tc>
          <w:tcPr>
            <w:tcW w:type="dxa" w:w="132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412公示</w:t>
            </w:r>
          </w:p>
        </w:tc>
        <w:tc>
          <w:tcPr>
            <w:tcW w:type="dxa" w:w="146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2026-10-16</w:t>
            </w:r>
          </w:p>
        </w:tc>
        <w:tc>
          <w:tcPr>
            <w:tcW w:type="dxa" w:w="123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58</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37</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15</w:t>
            </w:r>
          </w:p>
        </w:tc>
        <w:tc>
          <w:tcPr>
            <w:tcW w:type="dxa" w:w="8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6</w:t>
            </w:r>
          </w:p>
        </w:tc>
        <w:tc>
          <w:tcPr>
            <w:tcW w:type="dxa" w:w="123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58</w:t>
            </w:r>
          </w:p>
        </w:tc>
        <w:tc>
          <w:tcPr>
            <w:tcW w:type="dxa" w:w="195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8"/>
              </w:rPr>
              <w:t>待正式公告</w:t>
            </w:r>
          </w:p>
        </w:tc>
      </w:tr>
    </w:tbl>
    <w:p>
      <w:pPr>
        <w:pStyle w:val="Heading1"/>
      </w:pPr>
      <w:r>
        <w:t>按批次扫描结果</w:t>
      </w:r>
    </w:p>
    <w:p>
      <w:pPr>
        <w:spacing w:after="140" w:line="293" w:lineRule="auto"/>
      </w:pPr>
      <w:r>
        <w:rPr>
          <w:rFonts w:ascii="Microsoft YaHei" w:hAnsi="Microsoft YaHei" w:eastAsia="Microsoft YaHei"/>
          <w:b w:val="0"/>
          <w:i w:val="0"/>
          <w:color w:val="000000"/>
          <w:sz w:val="21"/>
        </w:rPr>
        <w:t>411正式公告的47个型号中，纯电和插混数量接近，增程数量较少。车型结构呈现两头分布：一端是紧凑型和中型纯电产品，另一端是5.1米以上的大型插混和增程产品。本批次纯电平均车长4810mm、平均整备质量2020kg；插混平均车长5163.7mm、平均整备质量2688.8kg。</w:t>
      </w:r>
    </w:p>
    <w:p>
      <w:pPr>
        <w:spacing w:after="140" w:line="293" w:lineRule="auto"/>
      </w:pPr>
      <w:r>
        <w:rPr>
          <w:rFonts w:ascii="Microsoft YaHei" w:hAnsi="Microsoft YaHei" w:eastAsia="Microsoft YaHei"/>
          <w:b w:val="0"/>
          <w:i w:val="0"/>
          <w:color w:val="000000"/>
          <w:sz w:val="21"/>
        </w:rPr>
        <w:t>412公示的58个型号中，纯电占比达到63.8%。纯电样本平均车长4986.5mm、平均整备质量2189.1kg，比411纯电样本更长、更重；插混和增程样本仍集中在5.0米左右的中大型产品。该批次公示清单覆盖1074个新产品，其中新能源349个型号，本次扫描保留58个新能源乘用车型号，其余为商用车、专用车、摩托车或非乘用车产品。</w:t>
      </w:r>
    </w:p>
    <w:p>
      <w:r>
        <w:drawing>
          <wp:inline xmlns:a="http://schemas.openxmlformats.org/drawingml/2006/main" xmlns:pic="http://schemas.openxmlformats.org/drawingml/2006/picture">
            <wp:extent cx="6172200" cy="3549015"/>
            <wp:docPr id="1" name="Picture 1"/>
            <wp:cNvGraphicFramePr>
              <a:graphicFrameLocks noChangeAspect="1"/>
            </wp:cNvGraphicFramePr>
            <a:graphic>
              <a:graphicData uri="http://schemas.openxmlformats.org/drawingml/2006/picture">
                <pic:pic>
                  <pic:nvPicPr>
                    <pic:cNvPr id="0" name="chart_batch_structure.png"/>
                    <pic:cNvPicPr/>
                  </pic:nvPicPr>
                  <pic:blipFill>
                    <a:blip r:embed="rId9"/>
                    <a:stretch>
                      <a:fillRect/>
                    </a:stretch>
                  </pic:blipFill>
                  <pic:spPr>
                    <a:xfrm>
                      <a:off x="0" y="0"/>
                      <a:ext cx="6172200" cy="3549015"/>
                    </a:xfrm>
                    <a:prstGeom prst="rect"/>
                  </pic:spPr>
                </pic:pic>
              </a:graphicData>
            </a:graphic>
          </wp:inline>
        </w:drawing>
      </w:r>
    </w:p>
    <w:p>
      <w:pPr>
        <w:keepNext w:val="0"/>
        <w:spacing w:before="80" w:after="160"/>
        <w:jc w:val="center"/>
      </w:pPr>
      <w:r>
        <w:rPr>
          <w:rFonts w:ascii="Microsoft YaHei" w:hAnsi="Microsoft YaHei" w:eastAsia="Microsoft YaHei"/>
          <w:b w:val="0"/>
          <w:i/>
          <w:color w:val="6B7280"/>
          <w:sz w:val="18"/>
        </w:rPr>
        <w:t>图1 各批次新能源乘用车结构。412为公示候选口径，正式公告发布后应复核。</w:t>
      </w:r>
    </w:p>
    <w:p>
      <w:pPr>
        <w:pStyle w:val="Heading1"/>
      </w:pPr>
      <w:r>
        <w:t>主要参数与趋势</w:t>
      </w:r>
    </w:p>
    <w:p>
      <w:pPr>
        <w:spacing w:after="140" w:line="293" w:lineRule="auto"/>
      </w:pPr>
      <w:r>
        <w:rPr>
          <w:rFonts w:ascii="Microsoft YaHei" w:hAnsi="Microsoft YaHei" w:eastAsia="Microsoft YaHei"/>
          <w:b w:val="0"/>
          <w:i w:val="0"/>
          <w:color w:val="000000"/>
          <w:sz w:val="21"/>
        </w:rPr>
        <w:t>411纯电样本的平均续航为593.5km、平均电池容量72.4kWh、平均电机总功率258.1kW。相比410纯电基准，续航和容量略低，但电机功率明显提高；这更像是车型级别和样本构成变化，不宜直接解释为技术退步。411插混样本的平均纯电续航248.5km、平均容量55.5kWh，相对410插混基准提升明显，说明长续航插混继续扩大。</w:t>
      </w:r>
    </w:p>
    <w:p>
      <w:pPr>
        <w:spacing w:after="140" w:line="293" w:lineRule="auto"/>
      </w:pPr>
      <w:r>
        <w:rPr>
          <w:rFonts w:ascii="Microsoft YaHei" w:hAnsi="Microsoft YaHei" w:eastAsia="Microsoft YaHei"/>
          <w:b w:val="0"/>
          <w:i w:val="0"/>
          <w:color w:val="000000"/>
          <w:sz w:val="21"/>
        </w:rPr>
        <w:t>412公示的纯电样本仅有功率、尺寸和质量可用，续航和容量不能从当前公示详情页统一提取，因此表中保留n.a.。插混样本平均纯电续航225.1km、平均容量48.3kWh；增程样本平均纯电续航257.0km、平均容量54.7kWh。该结果说明增程新车正在向50kWh以上的带电量集中。</w:t>
      </w:r>
    </w:p>
    <w:p>
      <w:pPr>
        <w:keepNext/>
        <w:spacing w:before="0" w:after="80"/>
        <w:jc w:val="center"/>
      </w:pPr>
      <w:r>
        <w:rPr>
          <w:rFonts w:ascii="Microsoft YaHei" w:hAnsi="Microsoft YaHei" w:eastAsia="Microsoft YaHei"/>
          <w:b w:val="0"/>
          <w:i/>
          <w:color w:val="6B7280"/>
          <w:sz w:val="18"/>
        </w:rPr>
        <w:t>表2 路线参数对比。数值顺序为410 / 411 / 412；功率均值只按公开有值样本计算。</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val="true"/>
          <w:cantSplit w:val="true"/>
        </w:trPr>
        <w:tc>
          <w:tcPr>
            <w:tcW w:type="dxa" w:w="1656"/>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技术路线</w:t>
            </w:r>
          </w:p>
        </w:tc>
        <w:tc>
          <w:tcPr>
            <w:tcW w:type="dxa" w:w="605"/>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410</w:t>
            </w:r>
          </w:p>
        </w:tc>
        <w:tc>
          <w:tcPr>
            <w:tcW w:type="dxa" w:w="605"/>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411</w:t>
            </w:r>
          </w:p>
        </w:tc>
        <w:tc>
          <w:tcPr>
            <w:tcW w:type="dxa" w:w="605"/>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412</w:t>
            </w:r>
          </w:p>
        </w:tc>
        <w:tc>
          <w:tcPr>
            <w:tcW w:type="dxa" w:w="2189"/>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平均续航 km</w:t>
            </w:r>
          </w:p>
        </w:tc>
        <w:tc>
          <w:tcPr>
            <w:tcW w:type="dxa" w:w="2189"/>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平均容量 kWh</w:t>
            </w:r>
          </w:p>
        </w:tc>
        <w:tc>
          <w:tcPr>
            <w:tcW w:type="dxa" w:w="2189"/>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平均功率 kW</w:t>
            </w:r>
          </w:p>
        </w:tc>
      </w:tr>
      <w:tr>
        <w:trPr>
          <w:cantSplit w:val="true"/>
        </w:trPr>
        <w:tc>
          <w:tcPr>
            <w:tcW w:type="dxa" w:w="16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8"/>
              </w:rPr>
              <w:t>纯电(BEV)</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47</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23</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37</w:t>
            </w:r>
          </w:p>
        </w:tc>
        <w:tc>
          <w:tcPr>
            <w:tcW w:type="dxa" w:w="218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606.4 / 593.5 / n.a.</w:t>
            </w:r>
          </w:p>
        </w:tc>
        <w:tc>
          <w:tcPr>
            <w:tcW w:type="dxa" w:w="218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73.8 / 72.4 / n.a.</w:t>
            </w:r>
          </w:p>
        </w:tc>
        <w:tc>
          <w:tcPr>
            <w:tcW w:type="dxa" w:w="218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189.8 / 258.1 / 270.5</w:t>
            </w:r>
          </w:p>
        </w:tc>
      </w:tr>
      <w:tr>
        <w:trPr>
          <w:cantSplit w:val="true"/>
        </w:trPr>
        <w:tc>
          <w:tcPr>
            <w:tcW w:type="dxa" w:w="1656"/>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8"/>
              </w:rPr>
              <w:t>插电混动(PHEV)</w:t>
            </w:r>
          </w:p>
        </w:tc>
        <w:tc>
          <w:tcPr>
            <w:tcW w:type="dxa" w:w="605"/>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16</w:t>
            </w:r>
          </w:p>
        </w:tc>
        <w:tc>
          <w:tcPr>
            <w:tcW w:type="dxa" w:w="605"/>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21</w:t>
            </w:r>
          </w:p>
        </w:tc>
        <w:tc>
          <w:tcPr>
            <w:tcW w:type="dxa" w:w="605"/>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15</w:t>
            </w:r>
          </w:p>
        </w:tc>
        <w:tc>
          <w:tcPr>
            <w:tcW w:type="dxa" w:w="218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224.9 / 248.5 / 225.1</w:t>
            </w:r>
          </w:p>
        </w:tc>
        <w:tc>
          <w:tcPr>
            <w:tcW w:type="dxa" w:w="218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43.4 / 55.5 / 48.3</w:t>
            </w:r>
          </w:p>
        </w:tc>
        <w:tc>
          <w:tcPr>
            <w:tcW w:type="dxa" w:w="218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179.7 / 388.3 / 223.9</w:t>
            </w:r>
          </w:p>
        </w:tc>
      </w:tr>
      <w:tr>
        <w:trPr>
          <w:cantSplit w:val="true"/>
        </w:trPr>
        <w:tc>
          <w:tcPr>
            <w:tcW w:type="dxa" w:w="16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8"/>
              </w:rPr>
              <w:t>增程(EREV)</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7</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3</w:t>
            </w:r>
          </w:p>
        </w:tc>
        <w:tc>
          <w:tcPr>
            <w:tcW w:type="dxa" w:w="60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6</w:t>
            </w:r>
          </w:p>
        </w:tc>
        <w:tc>
          <w:tcPr>
            <w:tcW w:type="dxa" w:w="218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255.1 / 239.0 / 257.0</w:t>
            </w:r>
          </w:p>
        </w:tc>
        <w:tc>
          <w:tcPr>
            <w:tcW w:type="dxa" w:w="218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54.5 / 50.1 / 54.7</w:t>
            </w:r>
          </w:p>
        </w:tc>
        <w:tc>
          <w:tcPr>
            <w:tcW w:type="dxa" w:w="218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214.7 / n.a. / 264.3</w:t>
            </w:r>
          </w:p>
        </w:tc>
      </w:tr>
    </w:tbl>
    <w:p>
      <w:r>
        <w:drawing>
          <wp:inline xmlns:a="http://schemas.openxmlformats.org/drawingml/2006/main" xmlns:pic="http://schemas.openxmlformats.org/drawingml/2006/picture">
            <wp:extent cx="6172200" cy="3549015"/>
            <wp:docPr id="2" name="Picture 2"/>
            <wp:cNvGraphicFramePr>
              <a:graphicFrameLocks noChangeAspect="1"/>
            </wp:cNvGraphicFramePr>
            <a:graphic>
              <a:graphicData uri="http://schemas.openxmlformats.org/drawingml/2006/picture">
                <pic:pic>
                  <pic:nvPicPr>
                    <pic:cNvPr id="0" name="chart_power.png"/>
                    <pic:cNvPicPr/>
                  </pic:nvPicPr>
                  <pic:blipFill>
                    <a:blip r:embed="rId10"/>
                    <a:stretch>
                      <a:fillRect/>
                    </a:stretch>
                  </pic:blipFill>
                  <pic:spPr>
                    <a:xfrm>
                      <a:off x="0" y="0"/>
                      <a:ext cx="6172200" cy="3549015"/>
                    </a:xfrm>
                    <a:prstGeom prst="rect"/>
                  </pic:spPr>
                </pic:pic>
              </a:graphicData>
            </a:graphic>
          </wp:inline>
        </w:drawing>
      </w:r>
    </w:p>
    <w:p>
      <w:pPr>
        <w:keepNext w:val="0"/>
        <w:spacing w:before="80" w:after="160"/>
        <w:jc w:val="center"/>
      </w:pPr>
      <w:r>
        <w:rPr>
          <w:rFonts w:ascii="Microsoft YaHei" w:hAnsi="Microsoft YaHei" w:eastAsia="Microsoft YaHei"/>
          <w:b w:val="0"/>
          <w:i/>
          <w:color w:val="6B7280"/>
          <w:sz w:val="18"/>
        </w:rPr>
        <w:t>图2 批次平均电机总功率。411插混仅6个型号公开电机功率，图中均值不代表全部21个插混样本。</w:t>
      </w:r>
    </w:p>
    <w:p>
      <w:pPr>
        <w:pStyle w:val="Heading1"/>
      </w:pPr>
      <w:r>
        <w:t>驱动系统扫描</w:t>
      </w:r>
    </w:p>
    <w:p>
      <w:pPr>
        <w:spacing w:after="140" w:line="293" w:lineRule="auto"/>
      </w:pPr>
      <w:r>
        <w:rPr>
          <w:rFonts w:ascii="Microsoft YaHei" w:hAnsi="Microsoft YaHei" w:eastAsia="Microsoft YaHei"/>
          <w:b w:val="0"/>
          <w:i w:val="0"/>
          <w:color w:val="000000"/>
          <w:sz w:val="21"/>
        </w:rPr>
        <w:t>本报告把电机峰值功率序列求和作为电机总功率，并按公开峰值功率数列推断单电机、双电机、三电机和四电机。当官方详情页只披露发动机最大净功率、没有披露电机功率时，该行不参与电机功率均值。</w:t>
      </w:r>
    </w:p>
    <w:p>
      <w:pPr>
        <w:keepNext/>
        <w:spacing w:before="0" w:after="80"/>
        <w:jc w:val="center"/>
      </w:pPr>
      <w:r>
        <w:rPr>
          <w:rFonts w:ascii="Microsoft YaHei" w:hAnsi="Microsoft YaHei" w:eastAsia="Microsoft YaHei"/>
          <w:b w:val="0"/>
          <w:i/>
          <w:color w:val="6B7280"/>
          <w:sz w:val="18"/>
        </w:rPr>
        <w:t>表3 驱动系统结构。百分比只在有效样本内计算，样本数列单独展示。</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val="true"/>
          <w:cantSplit w:val="true"/>
        </w:trPr>
        <w:tc>
          <w:tcPr>
            <w:tcW w:type="dxa" w:w="1181"/>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批次</w:t>
            </w:r>
          </w:p>
        </w:tc>
        <w:tc>
          <w:tcPr>
            <w:tcW w:type="dxa" w:w="1757"/>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技术路线</w:t>
            </w:r>
          </w:p>
        </w:tc>
        <w:tc>
          <w:tcPr>
            <w:tcW w:type="dxa" w:w="1699"/>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平均电机总功率 kW</w:t>
            </w:r>
          </w:p>
        </w:tc>
        <w:tc>
          <w:tcPr>
            <w:tcW w:type="dxa" w:w="1613"/>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200kW及以上占比</w:t>
            </w:r>
          </w:p>
        </w:tc>
        <w:tc>
          <w:tcPr>
            <w:tcW w:type="dxa" w:w="1411"/>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多电机占比</w:t>
            </w:r>
          </w:p>
        </w:tc>
        <w:tc>
          <w:tcPr>
            <w:tcW w:type="dxa" w:w="1037"/>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功率样本</w:t>
            </w:r>
          </w:p>
        </w:tc>
        <w:tc>
          <w:tcPr>
            <w:tcW w:type="dxa" w:w="1037"/>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8"/>
              </w:rPr>
              <w:t>驱动样本</w:t>
            </w:r>
          </w:p>
        </w:tc>
      </w:tr>
      <w:tr>
        <w:trPr>
          <w:cantSplit w:val="true"/>
        </w:trPr>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411正式</w:t>
            </w:r>
          </w:p>
        </w:tc>
        <w:tc>
          <w:tcPr>
            <w:tcW w:type="dxa" w:w="17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8"/>
              </w:rPr>
              <w:t>纯电(BEV)</w:t>
            </w:r>
          </w:p>
        </w:tc>
        <w:tc>
          <w:tcPr>
            <w:tcW w:type="dxa" w:w="169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258.1</w:t>
            </w:r>
          </w:p>
        </w:tc>
        <w:tc>
          <w:tcPr>
            <w:tcW w:type="dxa" w:w="161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60.9%</w:t>
            </w:r>
          </w:p>
        </w:tc>
        <w:tc>
          <w:tcPr>
            <w:tcW w:type="dxa" w:w="141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39.1%</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23</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23</w:t>
            </w:r>
          </w:p>
        </w:tc>
      </w:tr>
      <w:tr>
        <w:trPr>
          <w:cantSplit w:val="true"/>
        </w:trPr>
        <w:tc>
          <w:tcPr>
            <w:tcW w:type="dxa" w:w="118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411正式</w:t>
            </w:r>
          </w:p>
        </w:tc>
        <w:tc>
          <w:tcPr>
            <w:tcW w:type="dxa" w:w="1757"/>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8"/>
              </w:rPr>
              <w:t>插电混动(PHEV)</w:t>
            </w:r>
          </w:p>
        </w:tc>
        <w:tc>
          <w:tcPr>
            <w:tcW w:type="dxa" w:w="169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388.3</w:t>
            </w:r>
          </w:p>
        </w:tc>
        <w:tc>
          <w:tcPr>
            <w:tcW w:type="dxa" w:w="1613"/>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100.0%</w:t>
            </w:r>
          </w:p>
        </w:tc>
        <w:tc>
          <w:tcPr>
            <w:tcW w:type="dxa" w:w="141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50.0%</w:t>
            </w:r>
          </w:p>
        </w:tc>
        <w:tc>
          <w:tcPr>
            <w:tcW w:type="dxa" w:w="1037"/>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6</w:t>
            </w:r>
          </w:p>
        </w:tc>
        <w:tc>
          <w:tcPr>
            <w:tcW w:type="dxa" w:w="1037"/>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6</w:t>
            </w:r>
          </w:p>
        </w:tc>
      </w:tr>
      <w:tr>
        <w:trPr>
          <w:cantSplit w:val="true"/>
        </w:trPr>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411正式</w:t>
            </w:r>
          </w:p>
        </w:tc>
        <w:tc>
          <w:tcPr>
            <w:tcW w:type="dxa" w:w="17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8"/>
              </w:rPr>
              <w:t>增程(EREV)</w:t>
            </w:r>
          </w:p>
        </w:tc>
        <w:tc>
          <w:tcPr>
            <w:tcW w:type="dxa" w:w="169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n.a.</w:t>
            </w:r>
          </w:p>
        </w:tc>
        <w:tc>
          <w:tcPr>
            <w:tcW w:type="dxa" w:w="161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n.a.</w:t>
            </w:r>
          </w:p>
        </w:tc>
        <w:tc>
          <w:tcPr>
            <w:tcW w:type="dxa" w:w="141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n.a.</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0</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0</w:t>
            </w:r>
          </w:p>
        </w:tc>
      </w:tr>
      <w:tr>
        <w:trPr>
          <w:cantSplit w:val="true"/>
        </w:trPr>
        <w:tc>
          <w:tcPr>
            <w:tcW w:type="dxa" w:w="118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412公示</w:t>
            </w:r>
          </w:p>
        </w:tc>
        <w:tc>
          <w:tcPr>
            <w:tcW w:type="dxa" w:w="1757"/>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8"/>
              </w:rPr>
              <w:t>纯电(BEV)</w:t>
            </w:r>
          </w:p>
        </w:tc>
        <w:tc>
          <w:tcPr>
            <w:tcW w:type="dxa" w:w="169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270.5</w:t>
            </w:r>
          </w:p>
        </w:tc>
        <w:tc>
          <w:tcPr>
            <w:tcW w:type="dxa" w:w="1613"/>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70.3%</w:t>
            </w:r>
          </w:p>
        </w:tc>
        <w:tc>
          <w:tcPr>
            <w:tcW w:type="dxa" w:w="141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21.6%</w:t>
            </w:r>
          </w:p>
        </w:tc>
        <w:tc>
          <w:tcPr>
            <w:tcW w:type="dxa" w:w="1037"/>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37</w:t>
            </w:r>
          </w:p>
        </w:tc>
        <w:tc>
          <w:tcPr>
            <w:tcW w:type="dxa" w:w="1037"/>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37</w:t>
            </w:r>
          </w:p>
        </w:tc>
      </w:tr>
      <w:tr>
        <w:trPr>
          <w:cantSplit w:val="true"/>
        </w:trPr>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412公示</w:t>
            </w:r>
          </w:p>
        </w:tc>
        <w:tc>
          <w:tcPr>
            <w:tcW w:type="dxa" w:w="17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8"/>
              </w:rPr>
              <w:t>插电混动(PHEV)</w:t>
            </w:r>
          </w:p>
        </w:tc>
        <w:tc>
          <w:tcPr>
            <w:tcW w:type="dxa" w:w="169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223.9</w:t>
            </w:r>
          </w:p>
        </w:tc>
        <w:tc>
          <w:tcPr>
            <w:tcW w:type="dxa" w:w="161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57.1%</w:t>
            </w:r>
          </w:p>
        </w:tc>
        <w:tc>
          <w:tcPr>
            <w:tcW w:type="dxa" w:w="141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28.6%</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7</w:t>
            </w:r>
          </w:p>
        </w:tc>
        <w:tc>
          <w:tcPr>
            <w:tcW w:type="dxa" w:w="10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7</w:t>
            </w:r>
          </w:p>
        </w:tc>
      </w:tr>
      <w:tr>
        <w:trPr>
          <w:cantSplit w:val="true"/>
        </w:trPr>
        <w:tc>
          <w:tcPr>
            <w:tcW w:type="dxa" w:w="118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8"/>
              </w:rPr>
              <w:t>412公示</w:t>
            </w:r>
          </w:p>
        </w:tc>
        <w:tc>
          <w:tcPr>
            <w:tcW w:type="dxa" w:w="1757"/>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8"/>
              </w:rPr>
              <w:t>增程(EREV)</w:t>
            </w:r>
          </w:p>
        </w:tc>
        <w:tc>
          <w:tcPr>
            <w:tcW w:type="dxa" w:w="169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264.3</w:t>
            </w:r>
          </w:p>
        </w:tc>
        <w:tc>
          <w:tcPr>
            <w:tcW w:type="dxa" w:w="1613"/>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100.0%</w:t>
            </w:r>
          </w:p>
        </w:tc>
        <w:tc>
          <w:tcPr>
            <w:tcW w:type="dxa" w:w="141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33.3%</w:t>
            </w:r>
          </w:p>
        </w:tc>
        <w:tc>
          <w:tcPr>
            <w:tcW w:type="dxa" w:w="1037"/>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6</w:t>
            </w:r>
          </w:p>
        </w:tc>
        <w:tc>
          <w:tcPr>
            <w:tcW w:type="dxa" w:w="1037"/>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right"/>
            </w:pPr>
            <w:r/>
            <w:r>
              <w:rPr>
                <w:rFonts w:ascii="Microsoft YaHei" w:hAnsi="Microsoft YaHei" w:eastAsia="Microsoft YaHei"/>
                <w:b w:val="0"/>
                <w:i w:val="0"/>
                <w:color w:val="000000"/>
                <w:sz w:val="18"/>
              </w:rPr>
              <w:t>6</w:t>
            </w:r>
          </w:p>
        </w:tc>
      </w:tr>
    </w:tbl>
    <w:p>
      <w:pPr>
        <w:spacing w:after="140" w:line="293" w:lineRule="auto"/>
      </w:pPr>
      <w:r>
        <w:rPr>
          <w:rFonts w:ascii="Microsoft YaHei" w:hAnsi="Microsoft YaHei" w:eastAsia="Microsoft YaHei"/>
          <w:b w:val="0"/>
          <w:i w:val="0"/>
          <w:color w:val="000000"/>
          <w:sz w:val="21"/>
        </w:rPr>
        <w:t>411纯电样本中，200kW及以上占60.9%，多电机占39.1%；412纯电样本中，200kW及以上占70.3%，多电机占21.6%。412的单电机占比更高，但高功率单电机和双电机高性能车型同时存在，说明平台策略正在分化为效率型和高性能型两条路线。</w:t>
      </w:r>
    </w:p>
    <w:p>
      <w:pPr>
        <w:spacing w:after="140" w:line="293" w:lineRule="auto"/>
      </w:pPr>
      <w:r>
        <w:rPr>
          <w:rFonts w:ascii="Microsoft YaHei" w:hAnsi="Microsoft YaHei" w:eastAsia="Microsoft YaHei"/>
          <w:b w:val="0"/>
          <w:i w:val="0"/>
          <w:color w:val="000000"/>
          <w:sz w:val="21"/>
        </w:rPr>
        <w:t>把功率和电池放在一起看，411插混的均值功率388.3kW建立在6个有效样本上，不能直接外推；但六款样本均达到200kW以上，且多电机占比50%。该现象足以支持一个判断：中大型插混和增程产品的电驱功率门槛已经上移，开发规划不能继续只按早期100至150kW的电驱平台设定上限。</w:t>
      </w:r>
    </w:p>
    <w:p>
      <w:pPr>
        <w:pStyle w:val="Heading1"/>
      </w:pPr>
      <w:r>
        <w:t>重点车型观察</w:t>
      </w:r>
    </w:p>
    <w:p>
      <w:pPr>
        <w:spacing w:after="140" w:line="293" w:lineRule="auto"/>
      </w:pPr>
      <w:r>
        <w:rPr>
          <w:rFonts w:ascii="Microsoft YaHei" w:hAnsi="Microsoft YaHei" w:eastAsia="Microsoft YaHei"/>
          <w:b w:val="0"/>
          <w:i w:val="0"/>
          <w:color w:val="000000"/>
          <w:sz w:val="21"/>
        </w:rPr>
        <w:t>下表按电机总功率排序，仅列公开披露电机功率的车型。续航和容量为空表示官方公示暂未提供，不代表产品没有相关参数。车型通用名称只在公告或目录原文给出时展示。</w:t>
      </w:r>
    </w:p>
    <w:p>
      <w:pPr>
        <w:keepNext/>
        <w:spacing w:before="0" w:after="80"/>
        <w:jc w:val="center"/>
      </w:pPr>
      <w:r>
        <w:rPr>
          <w:rFonts w:ascii="Microsoft YaHei" w:hAnsi="Microsoft YaHei" w:eastAsia="Microsoft YaHei"/>
          <w:b w:val="0"/>
          <w:i/>
          <w:color w:val="6B7280"/>
          <w:sz w:val="18"/>
        </w:rPr>
        <w:t>表4 高功率重点车型，功率/驱动形式与续航/容量。</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cantSplit w:val="true"/>
        </w:trPr>
        <w:tc>
          <w:tcPr>
            <w:tcW w:type="dxa" w:w="648"/>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7"/>
              </w:rPr>
              <w:t>批次</w:t>
            </w:r>
          </w:p>
        </w:tc>
        <w:tc>
          <w:tcPr>
            <w:tcW w:type="dxa" w:w="1699"/>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7"/>
              </w:rPr>
              <w:t>企业</w:t>
            </w:r>
          </w:p>
        </w:tc>
        <w:tc>
          <w:tcPr>
            <w:tcW w:type="dxa" w:w="1181"/>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7"/>
              </w:rPr>
              <w:t>商标</w:t>
            </w:r>
          </w:p>
        </w:tc>
        <w:tc>
          <w:tcPr>
            <w:tcW w:type="dxa" w:w="1699"/>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7"/>
              </w:rPr>
              <w:t>型号</w:t>
            </w:r>
          </w:p>
        </w:tc>
        <w:tc>
          <w:tcPr>
            <w:tcW w:type="dxa" w:w="1901"/>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7"/>
              </w:rPr>
              <w:t>功率 / 驱动形式</w:t>
            </w:r>
          </w:p>
        </w:tc>
        <w:tc>
          <w:tcPr>
            <w:tcW w:type="dxa" w:w="2232"/>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7"/>
              </w:rPr>
              <w:t>续航 / 容量</w:t>
            </w:r>
          </w:p>
        </w:tc>
      </w:tr>
      <w:tr>
        <w:trPr>
          <w:cantSplit w:val="true"/>
        </w:trPr>
        <w:tc>
          <w:tcPr>
            <w:tcW w:type="dxa" w:w="6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411</w:t>
            </w:r>
          </w:p>
        </w:tc>
        <w:tc>
          <w:tcPr>
            <w:tcW w:type="dxa" w:w="169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浙江吉利汽车有限公司</w:t>
            </w:r>
          </w:p>
        </w:tc>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极氪牌</w:t>
            </w:r>
          </w:p>
        </w:tc>
        <w:tc>
          <w:tcPr>
            <w:tcW w:type="dxa" w:w="169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MR6521BEV101</w:t>
            </w:r>
          </w:p>
        </w:tc>
        <w:tc>
          <w:tcPr>
            <w:tcW w:type="dxa" w:w="19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680 / 双电机</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720.0 / 115.0</w:t>
            </w:r>
          </w:p>
        </w:tc>
      </w:tr>
      <w:tr>
        <w:trPr>
          <w:cantSplit w:val="true"/>
        </w:trPr>
        <w:tc>
          <w:tcPr>
            <w:tcW w:type="dxa" w:w="648"/>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411</w:t>
            </w:r>
          </w:p>
        </w:tc>
        <w:tc>
          <w:tcPr>
            <w:tcW w:type="dxa" w:w="169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重庆长安汽车股份有限公司</w:t>
            </w:r>
          </w:p>
        </w:tc>
        <w:tc>
          <w:tcPr>
            <w:tcW w:type="dxa" w:w="118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阿维塔（AVATR）牌</w:t>
            </w:r>
          </w:p>
        </w:tc>
        <w:tc>
          <w:tcPr>
            <w:tcW w:type="dxa" w:w="169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SC6530AAAA6HEV</w:t>
            </w:r>
          </w:p>
        </w:tc>
        <w:tc>
          <w:tcPr>
            <w:tcW w:type="dxa" w:w="190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630 / 三电机</w:t>
            </w:r>
          </w:p>
        </w:tc>
        <w:tc>
          <w:tcPr>
            <w:tcW w:type="dxa" w:w="2232"/>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300.0 / 71.2</w:t>
            </w:r>
          </w:p>
        </w:tc>
      </w:tr>
      <w:tr>
        <w:trPr>
          <w:cantSplit w:val="true"/>
        </w:trPr>
        <w:tc>
          <w:tcPr>
            <w:tcW w:type="dxa" w:w="6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411</w:t>
            </w:r>
          </w:p>
        </w:tc>
        <w:tc>
          <w:tcPr>
            <w:tcW w:type="dxa" w:w="169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长城汽车股份有限公司</w:t>
            </w:r>
          </w:p>
        </w:tc>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魏牌牌</w:t>
            </w:r>
          </w:p>
        </w:tc>
        <w:tc>
          <w:tcPr>
            <w:tcW w:type="dxa" w:w="169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CC6510DG21HABEV</w:t>
            </w:r>
          </w:p>
        </w:tc>
        <w:tc>
          <w:tcPr>
            <w:tcW w:type="dxa" w:w="19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540 / 双电机</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665.0 / 100.0</w:t>
            </w:r>
          </w:p>
        </w:tc>
      </w:tr>
      <w:tr>
        <w:trPr>
          <w:cantSplit w:val="true"/>
        </w:trPr>
        <w:tc>
          <w:tcPr>
            <w:tcW w:type="dxa" w:w="648"/>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411</w:t>
            </w:r>
          </w:p>
        </w:tc>
        <w:tc>
          <w:tcPr>
            <w:tcW w:type="dxa" w:w="169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重庆长安汽车股份有限公司</w:t>
            </w:r>
          </w:p>
        </w:tc>
        <w:tc>
          <w:tcPr>
            <w:tcW w:type="dxa" w:w="118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阿维塔（AVATR）牌</w:t>
            </w:r>
          </w:p>
        </w:tc>
        <w:tc>
          <w:tcPr>
            <w:tcW w:type="dxa" w:w="169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SC6530AAAB6HEV</w:t>
            </w:r>
          </w:p>
        </w:tc>
        <w:tc>
          <w:tcPr>
            <w:tcW w:type="dxa" w:w="190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490 / 双电机</w:t>
            </w:r>
          </w:p>
        </w:tc>
        <w:tc>
          <w:tcPr>
            <w:tcW w:type="dxa" w:w="2232"/>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330.0 / 71.2</w:t>
            </w:r>
          </w:p>
        </w:tc>
      </w:tr>
      <w:tr>
        <w:trPr>
          <w:cantSplit w:val="true"/>
        </w:trPr>
        <w:tc>
          <w:tcPr>
            <w:tcW w:type="dxa" w:w="6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411</w:t>
            </w:r>
          </w:p>
        </w:tc>
        <w:tc>
          <w:tcPr>
            <w:tcW w:type="dxa" w:w="169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北京理想汽车有限公司</w:t>
            </w:r>
          </w:p>
        </w:tc>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理想牌</w:t>
            </w:r>
          </w:p>
        </w:tc>
        <w:tc>
          <w:tcPr>
            <w:tcW w:type="dxa" w:w="169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LXA6540BEVW12</w:t>
            </w:r>
          </w:p>
        </w:tc>
        <w:tc>
          <w:tcPr>
            <w:tcW w:type="dxa" w:w="19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413 / 双电机</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710.0 / 108.0</w:t>
            </w:r>
          </w:p>
        </w:tc>
      </w:tr>
      <w:tr>
        <w:trPr>
          <w:cantSplit w:val="true"/>
        </w:trPr>
        <w:tc>
          <w:tcPr>
            <w:tcW w:type="dxa" w:w="648"/>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411</w:t>
            </w:r>
          </w:p>
        </w:tc>
        <w:tc>
          <w:tcPr>
            <w:tcW w:type="dxa" w:w="169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北京理想汽车有限公司</w:t>
            </w:r>
          </w:p>
        </w:tc>
        <w:tc>
          <w:tcPr>
            <w:tcW w:type="dxa" w:w="118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理想牌</w:t>
            </w:r>
          </w:p>
        </w:tc>
        <w:tc>
          <w:tcPr>
            <w:tcW w:type="dxa" w:w="169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LXA6503BEVW06</w:t>
            </w:r>
          </w:p>
        </w:tc>
        <w:tc>
          <w:tcPr>
            <w:tcW w:type="dxa" w:w="190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400 / 双电机</w:t>
            </w:r>
          </w:p>
        </w:tc>
        <w:tc>
          <w:tcPr>
            <w:tcW w:type="dxa" w:w="2232"/>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720.0 / 96.0</w:t>
            </w:r>
          </w:p>
        </w:tc>
      </w:tr>
      <w:tr>
        <w:trPr>
          <w:cantSplit w:val="true"/>
        </w:trPr>
        <w:tc>
          <w:tcPr>
            <w:tcW w:type="dxa" w:w="6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411</w:t>
            </w:r>
          </w:p>
        </w:tc>
        <w:tc>
          <w:tcPr>
            <w:tcW w:type="dxa" w:w="169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北京理想汽车有限公司</w:t>
            </w:r>
          </w:p>
        </w:tc>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理想牌</w:t>
            </w:r>
          </w:p>
        </w:tc>
        <w:tc>
          <w:tcPr>
            <w:tcW w:type="dxa" w:w="169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LXA6503BEVW04</w:t>
            </w:r>
          </w:p>
        </w:tc>
        <w:tc>
          <w:tcPr>
            <w:tcW w:type="dxa" w:w="19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400 / 双电机</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720.0 / 96.0</w:t>
            </w:r>
          </w:p>
        </w:tc>
      </w:tr>
      <w:tr>
        <w:trPr>
          <w:cantSplit w:val="true"/>
        </w:trPr>
        <w:tc>
          <w:tcPr>
            <w:tcW w:type="dxa" w:w="648"/>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411</w:t>
            </w:r>
          </w:p>
        </w:tc>
        <w:tc>
          <w:tcPr>
            <w:tcW w:type="dxa" w:w="169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比亚迪汽车有限公司</w:t>
            </w:r>
          </w:p>
        </w:tc>
        <w:tc>
          <w:tcPr>
            <w:tcW w:type="dxa" w:w="118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方程豹牌</w:t>
            </w:r>
          </w:p>
        </w:tc>
        <w:tc>
          <w:tcPr>
            <w:tcW w:type="dxa" w:w="169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QCJ6530BE6HEV2</w:t>
            </w:r>
          </w:p>
        </w:tc>
        <w:tc>
          <w:tcPr>
            <w:tcW w:type="dxa" w:w="190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400 / 双电机</w:t>
            </w:r>
          </w:p>
        </w:tc>
        <w:tc>
          <w:tcPr>
            <w:tcW w:type="dxa" w:w="2232"/>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310.0 / 66.5</w:t>
            </w:r>
          </w:p>
        </w:tc>
      </w:tr>
      <w:tr>
        <w:trPr>
          <w:cantSplit w:val="true"/>
        </w:trPr>
        <w:tc>
          <w:tcPr>
            <w:tcW w:type="dxa" w:w="6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412</w:t>
            </w:r>
          </w:p>
        </w:tc>
        <w:tc>
          <w:tcPr>
            <w:tcW w:type="dxa" w:w="169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比亚迪汽车工业有限公司</w:t>
            </w:r>
          </w:p>
        </w:tc>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比亚迪牌</w:t>
            </w:r>
          </w:p>
        </w:tc>
        <w:tc>
          <w:tcPr>
            <w:tcW w:type="dxa" w:w="169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BYD6510BNBEV4</w:t>
            </w:r>
          </w:p>
        </w:tc>
        <w:tc>
          <w:tcPr>
            <w:tcW w:type="dxa" w:w="19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585 / 双电机</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n.a. / n.a.</w:t>
            </w:r>
          </w:p>
        </w:tc>
      </w:tr>
      <w:tr>
        <w:trPr>
          <w:cantSplit w:val="true"/>
        </w:trPr>
        <w:tc>
          <w:tcPr>
            <w:tcW w:type="dxa" w:w="648"/>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412</w:t>
            </w:r>
          </w:p>
        </w:tc>
        <w:tc>
          <w:tcPr>
            <w:tcW w:type="dxa" w:w="169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长城汽车股份有限公司</w:t>
            </w:r>
          </w:p>
        </w:tc>
        <w:tc>
          <w:tcPr>
            <w:tcW w:type="dxa" w:w="118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魏牌牌</w:t>
            </w:r>
          </w:p>
        </w:tc>
        <w:tc>
          <w:tcPr>
            <w:tcW w:type="dxa" w:w="169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CC6520DH21HABEV</w:t>
            </w:r>
          </w:p>
        </w:tc>
        <w:tc>
          <w:tcPr>
            <w:tcW w:type="dxa" w:w="190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540 / 双电机</w:t>
            </w:r>
          </w:p>
        </w:tc>
        <w:tc>
          <w:tcPr>
            <w:tcW w:type="dxa" w:w="2232"/>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n.a. / n.a.</w:t>
            </w:r>
          </w:p>
        </w:tc>
      </w:tr>
      <w:tr>
        <w:trPr>
          <w:cantSplit w:val="true"/>
        </w:trPr>
        <w:tc>
          <w:tcPr>
            <w:tcW w:type="dxa" w:w="6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412</w:t>
            </w:r>
          </w:p>
        </w:tc>
        <w:tc>
          <w:tcPr>
            <w:tcW w:type="dxa" w:w="169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长城汽车股份有限公司</w:t>
            </w:r>
          </w:p>
        </w:tc>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魏牌牌</w:t>
            </w:r>
          </w:p>
        </w:tc>
        <w:tc>
          <w:tcPr>
            <w:tcW w:type="dxa" w:w="169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CC6520DG21HABEV</w:t>
            </w:r>
          </w:p>
        </w:tc>
        <w:tc>
          <w:tcPr>
            <w:tcW w:type="dxa" w:w="19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540 / 双电机</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n.a. / n.a.</w:t>
            </w:r>
          </w:p>
        </w:tc>
      </w:tr>
      <w:tr>
        <w:trPr>
          <w:cantSplit w:val="true"/>
        </w:trPr>
        <w:tc>
          <w:tcPr>
            <w:tcW w:type="dxa" w:w="648"/>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412</w:t>
            </w:r>
          </w:p>
        </w:tc>
        <w:tc>
          <w:tcPr>
            <w:tcW w:type="dxa" w:w="169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比亚迪汽车有限公司</w:t>
            </w:r>
          </w:p>
        </w:tc>
        <w:tc>
          <w:tcPr>
            <w:tcW w:type="dxa" w:w="118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比亚迪牌</w:t>
            </w:r>
          </w:p>
        </w:tc>
        <w:tc>
          <w:tcPr>
            <w:tcW w:type="dxa" w:w="169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BYD7000CEBEV1</w:t>
            </w:r>
          </w:p>
        </w:tc>
        <w:tc>
          <w:tcPr>
            <w:tcW w:type="dxa" w:w="190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520 / 双电机</w:t>
            </w:r>
          </w:p>
        </w:tc>
        <w:tc>
          <w:tcPr>
            <w:tcW w:type="dxa" w:w="2232"/>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n.a. / n.a.</w:t>
            </w:r>
          </w:p>
        </w:tc>
      </w:tr>
      <w:tr>
        <w:trPr>
          <w:cantSplit w:val="true"/>
        </w:trPr>
        <w:tc>
          <w:tcPr>
            <w:tcW w:type="dxa" w:w="6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412</w:t>
            </w:r>
          </w:p>
        </w:tc>
        <w:tc>
          <w:tcPr>
            <w:tcW w:type="dxa" w:w="169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比亚迪汽车工业有限公司</w:t>
            </w:r>
          </w:p>
        </w:tc>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比亚迪牌</w:t>
            </w:r>
          </w:p>
        </w:tc>
        <w:tc>
          <w:tcPr>
            <w:tcW w:type="dxa" w:w="169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BYD6500BBBEV3</w:t>
            </w:r>
          </w:p>
        </w:tc>
        <w:tc>
          <w:tcPr>
            <w:tcW w:type="dxa" w:w="19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515 / 双电机</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n.a. / n.a.</w:t>
            </w:r>
          </w:p>
        </w:tc>
      </w:tr>
      <w:tr>
        <w:trPr>
          <w:cantSplit w:val="true"/>
        </w:trPr>
        <w:tc>
          <w:tcPr>
            <w:tcW w:type="dxa" w:w="648"/>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412</w:t>
            </w:r>
          </w:p>
        </w:tc>
        <w:tc>
          <w:tcPr>
            <w:tcW w:type="dxa" w:w="169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上海汽车集团股份有限公司</w:t>
            </w:r>
          </w:p>
        </w:tc>
        <w:tc>
          <w:tcPr>
            <w:tcW w:type="dxa" w:w="118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尚界牌</w:t>
            </w:r>
          </w:p>
        </w:tc>
        <w:tc>
          <w:tcPr>
            <w:tcW w:type="dxa" w:w="169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CSA6516BBEV2</w:t>
            </w:r>
          </w:p>
        </w:tc>
        <w:tc>
          <w:tcPr>
            <w:tcW w:type="dxa" w:w="190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455 / 双电机</w:t>
            </w:r>
          </w:p>
        </w:tc>
        <w:tc>
          <w:tcPr>
            <w:tcW w:type="dxa" w:w="2232"/>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n.a. / n.a.</w:t>
            </w:r>
          </w:p>
        </w:tc>
      </w:tr>
      <w:tr>
        <w:trPr>
          <w:cantSplit w:val="true"/>
        </w:trPr>
        <w:tc>
          <w:tcPr>
            <w:tcW w:type="dxa" w:w="6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412</w:t>
            </w:r>
          </w:p>
        </w:tc>
        <w:tc>
          <w:tcPr>
            <w:tcW w:type="dxa" w:w="169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赛力斯汽车有限公司</w:t>
            </w:r>
          </w:p>
        </w:tc>
        <w:tc>
          <w:tcPr>
            <w:tcW w:type="dxa" w:w="11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赛豆牌</w:t>
            </w:r>
          </w:p>
        </w:tc>
        <w:tc>
          <w:tcPr>
            <w:tcW w:type="dxa" w:w="169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SKE6502DBEVA2F</w:t>
            </w:r>
          </w:p>
        </w:tc>
        <w:tc>
          <w:tcPr>
            <w:tcW w:type="dxa" w:w="19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420 / 双电机</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n.a. / n.a.</w:t>
            </w:r>
          </w:p>
        </w:tc>
      </w:tr>
      <w:tr>
        <w:trPr>
          <w:cantSplit w:val="true"/>
        </w:trPr>
        <w:tc>
          <w:tcPr>
            <w:tcW w:type="dxa" w:w="648"/>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412</w:t>
            </w:r>
          </w:p>
        </w:tc>
        <w:tc>
          <w:tcPr>
            <w:tcW w:type="dxa" w:w="169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比亚迪汽车有限公司</w:t>
            </w:r>
          </w:p>
        </w:tc>
        <w:tc>
          <w:tcPr>
            <w:tcW w:type="dxa" w:w="118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方程豹牌</w:t>
            </w:r>
          </w:p>
        </w:tc>
        <w:tc>
          <w:tcPr>
            <w:tcW w:type="dxa" w:w="1699"/>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7"/>
              </w:rPr>
              <w:t>QCJ6530BE6HEV4</w:t>
            </w:r>
          </w:p>
        </w:tc>
        <w:tc>
          <w:tcPr>
            <w:tcW w:type="dxa" w:w="1901"/>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400 / 双电机</w:t>
            </w:r>
          </w:p>
        </w:tc>
        <w:tc>
          <w:tcPr>
            <w:tcW w:type="dxa" w:w="2232"/>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7"/>
              </w:rPr>
              <w:t>310.0 / 66.5</w:t>
            </w:r>
          </w:p>
        </w:tc>
      </w:tr>
    </w:tbl>
    <w:p>
      <w:pPr>
        <w:pStyle w:val="Heading1"/>
      </w:pPr>
      <w:r>
        <w:t>对驱动系统和产品规划的建议</w:t>
      </w:r>
    </w:p>
    <w:p>
      <w:pPr>
        <w:spacing w:after="140" w:line="293" w:lineRule="auto"/>
      </w:pPr>
      <w:r>
        <w:rPr>
          <w:rFonts w:ascii="Microsoft YaHei" w:hAnsi="Microsoft YaHei" w:eastAsia="Microsoft YaHei"/>
          <w:b w:val="0"/>
          <w:i w:val="0"/>
          <w:color w:val="000000"/>
          <w:sz w:val="21"/>
        </w:rPr>
        <w:t>先确定产品级别，再确定电驱平台，不要把全部车型压到同一个功率段。对C级和中型主流纯电产品，150至250kW单电机仍可作为效率基线；对D级、MPV和旗舰SUV，至少需要预留400至600kW的双电机或三电机扩展能力。412公示中的多电机样本已经覆盖双电机、三电机和四电机，平台规划必须支持前后轴功率解耦和不同电机数量组合。</w:t>
      </w:r>
    </w:p>
    <w:p>
      <w:pPr>
        <w:spacing w:after="140" w:line="293" w:lineRule="auto"/>
      </w:pPr>
      <w:r>
        <w:rPr>
          <w:rFonts w:ascii="Microsoft YaHei" w:hAnsi="Microsoft YaHei" w:eastAsia="Microsoft YaHei"/>
          <w:b w:val="0"/>
          <w:i w:val="0"/>
          <w:color w:val="000000"/>
          <w:sz w:val="21"/>
        </w:rPr>
        <w:t>插混和增程应按“大电池纯电体验”定义系统边界。411插混的平均容量已经达到55.5kWh，412增程样本集中在52至56kWh、纯电续航251至265km。建议把200至300km纯电续航、45至70kWh电池包和200至400kW电驱作为中大型插混、增程产品的规划区间，并对旗舰车型预留更高的功率和电池容量上限。</w:t>
      </w:r>
    </w:p>
    <w:p>
      <w:pPr>
        <w:spacing w:after="140" w:line="293" w:lineRule="auto"/>
      </w:pPr>
      <w:r>
        <w:rPr>
          <w:rFonts w:ascii="Microsoft YaHei" w:hAnsi="Microsoft YaHei" w:eastAsia="Microsoft YaHei"/>
          <w:b w:val="0"/>
          <w:i w:val="0"/>
          <w:color w:val="000000"/>
          <w:sz w:val="21"/>
        </w:rPr>
        <w:t>下一步的重点不是继续增加单一峰值参数，而是把电驱效率和整车质量一起纳入门禁。建议在后续车型定义中同时设置电机功率、整备质量、续航和电池容量四项设计目标，用公告批次滚动验证实现情况。若只有功率上升而质量、能耗同步恶化，不应把它解释为技术进步。</w:t>
      </w:r>
    </w:p>
    <w:p>
      <w:pPr>
        <w:pStyle w:val="Heading1"/>
      </w:pPr>
      <w:r>
        <w:t>持续扫描流程</w:t>
      </w:r>
    </w:p>
    <w:p>
      <w:pPr>
        <w:spacing w:after="80" w:line="283" w:lineRule="auto"/>
        <w:ind w:left="317" w:hanging="317"/>
      </w:pPr>
      <w:r>
        <w:rPr>
          <w:rFonts w:ascii="Microsoft YaHei" w:hAnsi="Microsoft YaHei" w:eastAsia="Microsoft YaHei"/>
          <w:b w:val="0"/>
          <w:i w:val="0"/>
          <w:color w:val="000000"/>
          <w:sz w:val="20"/>
        </w:rPr>
        <w:t>1. 每月跟踪工信部公告发布、拟发布内容公示、车船税目录和车辆购置税目录。</w:t>
      </w:r>
    </w:p>
    <w:p>
      <w:pPr>
        <w:spacing w:after="80" w:line="283" w:lineRule="auto"/>
        <w:ind w:left="317" w:hanging="317"/>
      </w:pPr>
      <w:r>
        <w:rPr>
          <w:rFonts w:ascii="Microsoft YaHei" w:hAnsi="Microsoft YaHei" w:eastAsia="Microsoft YaHei"/>
          <w:b w:val="0"/>
          <w:i w:val="0"/>
          <w:color w:val="000000"/>
          <w:sz w:val="20"/>
        </w:rPr>
        <w:t>2. 公示阶段先抓取新产品清单和官方详情页，标记纯电、插混、增程和乘用车范围；续航、容量等待正式附件。</w:t>
      </w:r>
    </w:p>
    <w:p>
      <w:pPr>
        <w:spacing w:after="80" w:line="283" w:lineRule="auto"/>
        <w:ind w:left="317" w:hanging="317"/>
      </w:pPr>
      <w:r>
        <w:rPr>
          <w:rFonts w:ascii="Microsoft YaHei" w:hAnsi="Microsoft YaHei" w:eastAsia="Microsoft YaHei"/>
          <w:b w:val="0"/>
          <w:i w:val="0"/>
          <w:color w:val="000000"/>
          <w:sz w:val="20"/>
        </w:rPr>
        <w:t>3. 正式公告发布后，用附件替换公示候选值，按产品型号与341批以来的历史底表比对，区分型号级新增和历史延续。</w:t>
      </w:r>
    </w:p>
    <w:p>
      <w:pPr>
        <w:spacing w:after="80" w:line="283" w:lineRule="auto"/>
        <w:ind w:left="317" w:hanging="317"/>
      </w:pPr>
      <w:r>
        <w:rPr>
          <w:rFonts w:ascii="Microsoft YaHei" w:hAnsi="Microsoft YaHei" w:eastAsia="Microsoft YaHei"/>
          <w:b w:val="0"/>
          <w:i w:val="0"/>
          <w:color w:val="000000"/>
          <w:sz w:val="20"/>
        </w:rPr>
        <w:t>4. 每轮更新扫描底表、驱动系统对比和报告结论，缺失字段保留空白并记录原因。</w:t>
      </w:r>
    </w:p>
    <w:p>
      <w:pPr>
        <w:spacing w:after="80" w:line="283" w:lineRule="auto"/>
        <w:ind w:left="317" w:hanging="317"/>
      </w:pPr>
      <w:r>
        <w:rPr>
          <w:rFonts w:ascii="Microsoft YaHei" w:hAnsi="Microsoft YaHei" w:eastAsia="Microsoft YaHei"/>
          <w:b w:val="0"/>
          <w:i w:val="0"/>
          <w:color w:val="000000"/>
          <w:sz w:val="20"/>
        </w:rPr>
        <w:t>5. 每季度比较主要车企的功率、电池容量、续航和驱动形式变化，形成进入下一轮产品定义的技术门槛。</w:t>
      </w:r>
    </w:p>
    <w:p>
      <w:pPr>
        <w:pStyle w:val="Heading1"/>
      </w:pPr>
      <w:r>
        <w:t>来源与限制</w:t>
      </w:r>
    </w:p>
    <w:tbl>
      <w:tblPr>
        <w:tblW w:type="auto" w:w="0"/>
        <w:jc w:val="center"/>
        <w:tblLayout w:type="fixed"/>
        <w:tblLook w:firstColumn="1" w:firstRow="1" w:lastColumn="0" w:lastRow="0" w:noHBand="0" w:noVBand="1" w:val="04A0"/>
      </w:tblPr>
      <w:tblGrid>
        <w:gridCol w:w="3360"/>
        <w:gridCol w:w="3360"/>
        <w:gridCol w:w="3360"/>
      </w:tblGrid>
      <w:tr>
        <w:trPr>
          <w:tblHeader w:val="true"/>
          <w:cantSplit w:val="true"/>
        </w:trPr>
        <w:tc>
          <w:tcPr>
            <w:tcW w:type="dxa" w:w="1800"/>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6"/>
              </w:rPr>
              <w:t>来源</w:t>
            </w:r>
          </w:p>
        </w:tc>
        <w:tc>
          <w:tcPr>
            <w:tcW w:type="dxa" w:w="1440"/>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6"/>
              </w:rPr>
              <w:t>日期</w:t>
            </w:r>
          </w:p>
        </w:tc>
        <w:tc>
          <w:tcPr>
            <w:tcW w:type="dxa" w:w="6120"/>
            <w:shd w:fill="1F4E78"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Pr>
                <w:color w:val="FFFFFF"/>
              </w:rPr>
            </w:r>
            <w:r>
              <w:rPr>
                <w:rFonts w:ascii="Microsoft YaHei" w:hAnsi="Microsoft YaHei" w:eastAsia="Microsoft YaHei"/>
                <w:b/>
                <w:i w:val="0"/>
                <w:color w:val="000000"/>
                <w:sz w:val="16"/>
              </w:rPr>
              <w:t>链接/说明</w:t>
            </w:r>
          </w:p>
        </w:tc>
      </w:tr>
      <w:tr>
        <w:trPr>
          <w:cantSplit w:val="true"/>
        </w:trP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6"/>
              </w:rPr>
              <w:t>第411批正式公告</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6"/>
              </w:rPr>
              <w:t>2026-10-16</w:t>
            </w:r>
          </w:p>
        </w:tc>
        <w:tc>
          <w:tcPr>
            <w:tcW w:type="dxa" w:w="6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6"/>
              </w:rPr>
              <w:t>https://www.miit.gov.cn/jgsj/zbys/wjfb/art/2026/art_ef051926ce924a4da93e1677c7e18b34.html</w:t>
            </w:r>
          </w:p>
        </w:tc>
      </w:tr>
      <w:tr>
        <w:trPr>
          <w:cantSplit w:val="true"/>
        </w:trPr>
        <w:tc>
          <w:tcPr>
            <w:tcW w:type="dxa" w:w="1800"/>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6"/>
              </w:rPr>
              <w:t>第412批拟发布内容公示</w:t>
            </w:r>
          </w:p>
        </w:tc>
        <w:tc>
          <w:tcPr>
            <w:tcW w:type="dxa" w:w="1440"/>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6"/>
              </w:rPr>
              <w:t>2026-10-16</w:t>
            </w:r>
          </w:p>
        </w:tc>
        <w:tc>
          <w:tcPr>
            <w:tcW w:type="dxa" w:w="6120"/>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6"/>
              </w:rPr>
              <w:t>https://www.miit.gov.cn/jgsj/zbys/qcgy/art/2026/art_ec785d818a604ccd9618b73d4f13f062.html</w:t>
            </w:r>
          </w:p>
        </w:tc>
      </w:tr>
      <w:tr>
        <w:trPr>
          <w:cantSplit w:val="true"/>
        </w:trPr>
        <w:tc>
          <w:tcPr>
            <w:tcW w:type="dxa" w:w="1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6"/>
              </w:rPr>
              <w:t>第412批新产品公示清单</w:t>
            </w:r>
          </w:p>
        </w:tc>
        <w:tc>
          <w:tcPr>
            <w:tcW w:type="dxa" w:w="14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6"/>
              </w:rPr>
              <w:t>2026-10-12</w:t>
            </w:r>
          </w:p>
        </w:tc>
        <w:tc>
          <w:tcPr>
            <w:tcW w:type="dxa" w:w="6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6"/>
              </w:rPr>
              <w:t>https://www.miit.gov.cn/datainfo/cpgg/art/2026/art_43a4b4be0de2483d85f28e9423201494.html</w:t>
            </w:r>
          </w:p>
        </w:tc>
      </w:tr>
      <w:tr>
        <w:trPr>
          <w:cantSplit w:val="true"/>
        </w:trPr>
        <w:tc>
          <w:tcPr>
            <w:tcW w:type="dxa" w:w="1800"/>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6"/>
              </w:rPr>
              <w:t>341至410批权威底表</w:t>
            </w:r>
          </w:p>
        </w:tc>
        <w:tc>
          <w:tcPr>
            <w:tcW w:type="dxa" w:w="1440"/>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center"/>
            </w:pPr>
            <w:r/>
            <w:r>
              <w:rPr>
                <w:rFonts w:ascii="Microsoft YaHei" w:hAnsi="Microsoft YaHei" w:eastAsia="Microsoft YaHei"/>
                <w:b w:val="0"/>
                <w:i w:val="0"/>
                <w:color w:val="000000"/>
                <w:sz w:val="16"/>
              </w:rPr>
              <w:t>2026-10-05</w:t>
            </w:r>
          </w:p>
        </w:tc>
        <w:tc>
          <w:tcPr>
            <w:tcW w:type="dxa" w:w="6120"/>
            <w:shd w:fill="F2F7FC"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tcPr>
          <w:p>
            <w:pPr>
              <w:spacing w:after="0" w:before="0" w:line="269" w:lineRule="auto"/>
              <w:jc w:val="left"/>
            </w:pPr>
            <w:r/>
            <w:r>
              <w:rPr>
                <w:rFonts w:ascii="Microsoft YaHei" w:hAnsi="Microsoft YaHei" w:eastAsia="Microsoft YaHei"/>
                <w:b w:val="0"/>
                <w:i w:val="0"/>
                <w:color w:val="000000"/>
                <w:sz w:val="16"/>
              </w:rPr>
              <w:t>本地项目底表</w:t>
            </w:r>
          </w:p>
        </w:tc>
      </w:tr>
    </w:tbl>
    <w:p>
      <w:pPr>
        <w:spacing w:after="140" w:line="293" w:lineRule="auto"/>
      </w:pPr>
      <w:r>
        <w:rPr>
          <w:rFonts w:ascii="Microsoft YaHei" w:hAnsi="Microsoft YaHei" w:eastAsia="Microsoft YaHei"/>
          <w:b w:val="0"/>
          <w:i w:val="0"/>
          <w:color w:val="000000"/>
          <w:sz w:val="21"/>
        </w:rPr>
        <w:t>限制一：412仍是公示候选数据，续航、容量和供应商字段待正式公告补齐。限制二：411插混的电机功率有效样本仅6个，均值不外推。限制三：型号级新增仅代表型号未见于341至410底表。限制四：驱动形式由峰值功率数列推断，正式开发决策仍需官方技术文件复核。</w:t>
      </w:r>
    </w:p>
    <w:sectPr w:rsidR="00FC693F" w:rsidRPr="0006063C" w:rsidSect="00034616">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Microsoft YaHei" w:hAnsi="Microsoft YaHe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