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B3D" w:rsidRDefault="00825B3D" w:rsidP="00825B3D">
      <w:proofErr w:type="spellStart"/>
      <w:r>
        <w:t>Aadhaar</w:t>
      </w:r>
      <w:proofErr w:type="spellEnd"/>
      <w:r>
        <w:t xml:space="preserve"> is a critical pillar of India’s Digital Public Infrastructure. While enrolment coverage has matured, the effectiveness of </w:t>
      </w:r>
      <w:proofErr w:type="spellStart"/>
      <w:r>
        <w:t>Aadhaar</w:t>
      </w:r>
      <w:proofErr w:type="spellEnd"/>
      <w:r>
        <w:t xml:space="preserve"> increasingly depends on the accuracy and currency of demographic information. Demographic updates—such as changes in address, contact details, or age-linked attributes—represent recurring citizen interacti</w:t>
      </w:r>
      <w:bookmarkStart w:id="0" w:name="_GoBack"/>
      <w:bookmarkEnd w:id="0"/>
      <w:r>
        <w:t>ons with the system, yet remain under-utilised as a source of administrative insight.</w:t>
      </w:r>
    </w:p>
    <w:p w:rsidR="00825B3D" w:rsidRDefault="00825B3D" w:rsidP="00825B3D"/>
    <w:p w:rsidR="00825B3D" w:rsidRDefault="00825B3D" w:rsidP="00825B3D">
      <w:proofErr w:type="gramStart"/>
      <w:r>
        <w:t xml:space="preserve">This project analyses UIDAI </w:t>
      </w:r>
      <w:proofErr w:type="spellStart"/>
      <w:r>
        <w:t>Aadhaar</w:t>
      </w:r>
      <w:proofErr w:type="spellEnd"/>
      <w:r>
        <w:t xml:space="preserve"> Demographic Update data to identify spatial, temporal, and age-based patterns that reveal identity instability, service demand concentration, and operational stress.</w:t>
      </w:r>
      <w:proofErr w:type="gramEnd"/>
      <w:r>
        <w:t xml:space="preserve"> Using aggregated, non-personal data across states, districts, and PIN codes, the study applies explainable statistical methods to examine update volumes, age-group composition, seasonality, and structural anomalies.</w:t>
      </w:r>
    </w:p>
    <w:p w:rsidR="00825B3D" w:rsidRDefault="00825B3D" w:rsidP="00825B3D"/>
    <w:p w:rsidR="00825B3D" w:rsidRDefault="00825B3D" w:rsidP="00825B3D">
      <w:r>
        <w:t xml:space="preserve">The analysis shows that over 90% of updates originate from adults (17+), indicating that </w:t>
      </w:r>
      <w:proofErr w:type="spellStart"/>
      <w:r>
        <w:t>Aadhaar</w:t>
      </w:r>
      <w:proofErr w:type="spellEnd"/>
      <w:r>
        <w:t xml:space="preserve"> maintenance is primarily driven by livelihood-related life events such as migration and service access. Update demand is highly concentrated in a small number of urban and </w:t>
      </w:r>
      <w:proofErr w:type="spellStart"/>
      <w:r>
        <w:t>peri</w:t>
      </w:r>
      <w:proofErr w:type="spellEnd"/>
      <w:r>
        <w:t>-urban districts, with 60 districts identified as persistent statistical outliers, forming the operational core of the ecosystem. Temporal patterns reveal predictable, event-driven seasonality, with peaks aligned to financial year-end and scheme deadlines.</w:t>
      </w:r>
    </w:p>
    <w:p w:rsidR="00825B3D" w:rsidRDefault="00825B3D" w:rsidP="00825B3D"/>
    <w:p w:rsidR="00AE149B" w:rsidRPr="00825B3D" w:rsidRDefault="00825B3D" w:rsidP="00825B3D">
      <w:r>
        <w:t>By reframing demographic updates as signals of systemic stress rather than routine transactions, this project presents a scalable and reproducible framework to support targeted capacity planning, adaptive resource allocation, and proactive monitoring—enabling UIDAI to move toward data-driven, anticipatory service delivery while maintaining strong privacy safeguards.</w:t>
      </w:r>
    </w:p>
    <w:sectPr w:rsidR="00AE149B" w:rsidRPr="00825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56C5A"/>
    <w:rsid w:val="00191E08"/>
    <w:rsid w:val="00656C5A"/>
    <w:rsid w:val="00825B3D"/>
    <w:rsid w:val="00AE1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2026-01-19T06:24:00Z</dcterms:created>
  <dcterms:modified xsi:type="dcterms:W3CDTF">2026-01-19T06:26:00Z</dcterms:modified>
</cp:coreProperties>
</file>