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0B1020"/>
          <w:sz w:val="56"/>
          <w:szCs w:val="56"/>
        </w:rPr>
        <w:t xml:space="preserve">RoamWise</w:t>
      </w:r>
    </w:p>
    <w:p>
      <w:pPr>
        <w:spacing w:after="400"/>
        <w:jc w:val="center"/>
      </w:pPr>
      <w:r>
        <w:rPr>
          <w:i/>
          <w:iCs/>
          <w:color w:val="C8913E"/>
          <w:sz w:val="32"/>
          <w:szCs w:val="32"/>
        </w:rPr>
        <w:t xml:space="preserve">× E-Cell NMIMS Mumbai</w:t>
      </w:r>
    </w:p>
    <w:p>
      <w:pPr>
        <w:spacing w:after="60"/>
        <w:jc w:val="center"/>
      </w:pPr>
      <w:r>
        <w:rPr>
          <w:b/>
          <w:bCs/>
          <w:color w:val="555555"/>
          <w:sz w:val="28"/>
          <w:szCs w:val="28"/>
        </w:rPr>
        <w:t xml:space="preserve">COMMERCIAL PROPOSAL</w:t>
      </w:r>
    </w:p>
    <w:p>
      <w:pPr>
        <w:spacing w:after="600"/>
        <w:jc w:val="center"/>
      </w:pPr>
      <w:r>
        <w:rPr>
          <w:i/>
          <w:iCs/>
          <w:color w:val="555555"/>
          <w:sz w:val="22"/>
          <w:szCs w:val="22"/>
        </w:rPr>
        <w:t xml:space="preserve">An AI travel partnership, structured as a straightforward exchange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3%"/>
            <w:shd w:fill="F5F0E6" w:val="clear"/>
            <w:tcMar>
              <w:top w:type="dxa" w:w="120"/>
              <w:left w:type="dxa" w:w="120"/>
              <w:bottom w:type="dxa" w:w="120"/>
              <w:right w:type="dxa" w:w="120"/>
            </w:tcMar>
          </w:tcPr>
          <w:p>
            <w:pPr>
              <w:jc w:val="center"/>
            </w:pPr>
            <w:r>
              <w:rPr>
                <w:b/>
                <w:bCs/>
                <w:color w:val="C8913E"/>
                <w:sz w:val="32"/>
                <w:szCs w:val="32"/>
              </w:rPr>
              <w:t xml:space="preserve">500</w:t>
            </w:r>
          </w:p>
          <w:p>
            <w:pPr>
              <w:jc w:val="center"/>
            </w:pPr>
            <w:r>
              <w:rPr>
                <w:color w:val="555555"/>
                <w:sz w:val="18"/>
                <w:szCs w:val="18"/>
              </w:rPr>
              <w:t xml:space="preserve">Lifetime Pro passes</w:t>
            </w:r>
          </w:p>
        </w:tc>
        <w:tc>
          <w:tcPr>
            <w:tcW w:type="pct" w:w="33%"/>
            <w:shd w:fill="F5F0E6" w:val="clear"/>
            <w:tcMar>
              <w:top w:type="dxa" w:w="120"/>
              <w:left w:type="dxa" w:w="120"/>
              <w:bottom w:type="dxa" w:w="120"/>
              <w:right w:type="dxa" w:w="120"/>
            </w:tcMar>
          </w:tcPr>
          <w:p>
            <w:pPr>
              <w:jc w:val="center"/>
            </w:pPr>
            <w:r>
              <w:rPr>
                <w:b/>
                <w:bCs/>
                <w:color w:val="C8913E"/>
                <w:sz w:val="32"/>
                <w:szCs w:val="32"/>
              </w:rPr>
              <w:t xml:space="preserve">₹0</w:t>
            </w:r>
          </w:p>
          <w:p>
            <w:pPr>
              <w:jc w:val="center"/>
            </w:pPr>
            <w:r>
              <w:rPr>
                <w:color w:val="555555"/>
                <w:sz w:val="18"/>
                <w:szCs w:val="18"/>
              </w:rPr>
              <w:t xml:space="preserve">Cash changes hands</w:t>
            </w:r>
          </w:p>
        </w:tc>
        <w:tc>
          <w:tcPr>
            <w:tcW w:type="pct" w:w="33%"/>
            <w:shd w:fill="F5F0E6" w:val="clear"/>
            <w:tcMar>
              <w:top w:type="dxa" w:w="120"/>
              <w:left w:type="dxa" w:w="120"/>
              <w:bottom w:type="dxa" w:w="120"/>
              <w:right w:type="dxa" w:w="120"/>
            </w:tcMar>
          </w:tcPr>
          <w:p>
            <w:pPr>
              <w:jc w:val="center"/>
            </w:pPr>
            <w:r>
              <w:rPr>
                <w:b/>
                <w:bCs/>
                <w:color w:val="C8913E"/>
                <w:sz w:val="32"/>
                <w:szCs w:val="32"/>
              </w:rPr>
              <w:t xml:space="preserve">30%</w:t>
            </w:r>
          </w:p>
          <w:p>
            <w:pPr>
              <w:jc w:val="center"/>
            </w:pPr>
            <w:r>
              <w:rPr>
                <w:color w:val="555555"/>
                <w:sz w:val="18"/>
                <w:szCs w:val="18"/>
              </w:rPr>
              <w:t xml:space="preserve">Referral upside for NMIMS</w:t>
            </w:r>
          </w:p>
        </w:tc>
      </w:tr>
    </w:tbl>
    <w:p>
      <w:pPr>
        <w:spacing w:before="600"/>
      </w:pPr>
      <w:r>
        <w:br w:type="page"/>
      </w:r>
    </w:p>
    <w:p>
      <w:pPr>
        <w:pStyle w:val="Heading1"/>
        <w:spacing w:after="160" w:before="300"/>
      </w:pPr>
      <w:r>
        <w:rPr>
          <w:b/>
          <w:bCs/>
          <w:color w:val="0B1020"/>
          <w:sz w:val="30"/>
          <w:szCs w:val="30"/>
        </w:rPr>
        <w:t xml:space="preserve">The idea, plainly</w:t>
      </w:r>
    </w:p>
    <w:p>
      <w:pPr>
        <w:spacing w:after="140" w:line="320"/>
      </w:pPr>
      <w:r>
        <w:rPr>
          <w:color w:val="222222"/>
          <w:sz w:val="22"/>
          <w:szCs w:val="22"/>
        </w:rPr>
        <w:t xml:space="preserve">Most campus partnerships work like this: a brand pays for visibility, the fest gets a cheque, and everyone moves on once the banners come down. This proposal is built differently.</w:t>
      </w:r>
    </w:p>
    <w:p>
      <w:pPr>
        <w:spacing w:after="140" w:line="320"/>
      </w:pPr>
      <w:r>
        <w:rPr>
          <w:color w:val="222222"/>
          <w:sz w:val="22"/>
          <w:szCs w:val="22"/>
        </w:rPr>
        <w:t xml:space="preserve">RoamWise gives 500 NMIMS students and organisers a real product they keep using long after the fest — lifetime access to an AI travel planner, at zero cost to the college and zero cost to the students. In return, RoamWise asks for the kind of visibility any campus partner would expect: a shoutout, some social posts, a stage mention, and a fair chance to be seen by students who are, frankly, exactly who this product is built for.</w:t>
      </w:r>
    </w:p>
    <w:p>
      <w:pPr>
        <w:spacing w:after="140" w:line="320"/>
      </w:pPr>
      <w:r>
        <w:rPr>
          <w:color w:val="222222"/>
          <w:sz w:val="22"/>
          <w:szCs w:val="22"/>
        </w:rPr>
        <w:t xml:space="preserve">No cash changes hands in either direction. NMIMS also has the option to earn real commission afterward, if students beyond the 500 free passes choose to upgrade — more on that below.</w:t>
      </w:r>
    </w:p>
    <w:p>
      <w:pPr>
        <w:pStyle w:val="Heading1"/>
        <w:spacing w:after="160" w:before="300"/>
      </w:pPr>
      <w:r>
        <w:rPr>
          <w:b/>
          <w:bCs/>
          <w:color w:val="0B1020"/>
          <w:sz w:val="30"/>
          <w:szCs w:val="30"/>
        </w:rPr>
        <w:t xml:space="preserve">Why this is worth saying yes to</w:t>
      </w:r>
    </w:p>
    <w:p>
      <w:pPr>
        <w:pStyle w:val="Heading2"/>
        <w:spacing w:after="120" w:before="220"/>
      </w:pPr>
      <w:r>
        <w:rPr>
          <w:b/>
          <w:bCs/>
          <w:color w:val="C8913E"/>
          <w:sz w:val="24"/>
          <w:szCs w:val="24"/>
        </w:rPr>
        <w:t xml:space="preserve">A benefit students actually keep</w:t>
      </w:r>
    </w:p>
    <w:p>
      <w:pPr>
        <w:spacing w:after="140" w:line="320"/>
      </w:pPr>
      <w:r>
        <w:rPr>
          <w:color w:val="222222"/>
          <w:sz w:val="22"/>
          <w:szCs w:val="22"/>
        </w:rPr>
        <w:t xml:space="preserve">Most sponsorship perks end when the fest does. This one doesn't. Lifetime Pro access — AI itineraries, real local prices (not inflated tourist estimates), month-by-month crowd calendars for 195+ countries, and group trip-budget splitting — stays active for as long as RoamWise exists. Students use it for their next college trip, their first solo backpacking attempt, or just planning a weekend home.</w:t>
      </w:r>
    </w:p>
    <w:p>
      <w:pPr>
        <w:pStyle w:val="Heading2"/>
        <w:spacing w:after="120" w:before="220"/>
      </w:pPr>
      <w:r>
        <w:rPr>
          <w:b/>
          <w:bCs/>
          <w:color w:val="C8913E"/>
          <w:sz w:val="24"/>
          <w:szCs w:val="24"/>
        </w:rPr>
        <w:t xml:space="preserve">The numbers, if you want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0B1020" w:val="clear"/>
            <w:tcMar>
              <w:top w:type="dxa" w:w="100"/>
              <w:left w:type="dxa" w:w="120"/>
              <w:bottom w:type="dxa" w:w="100"/>
              <w:right w:type="dxa" w:w="120"/>
            </w:tcMar>
          </w:tcPr>
          <w:p>
            <w:r>
              <w:rPr>
                <w:b/>
                <w:bCs/>
                <w:color w:val="FFFFFF"/>
                <w:sz w:val="20"/>
                <w:szCs w:val="20"/>
              </w:rPr>
              <w:t xml:space="preserve">Comparable NMIMS sponsor tier</w:t>
            </w:r>
          </w:p>
        </w:tc>
        <w:tc>
          <w:tcPr>
            <w:tcW w:type="dxa" w:w="3000"/>
            <w:shd w:fill="0B1020" w:val="clear"/>
            <w:tcMar>
              <w:top w:type="dxa" w:w="100"/>
              <w:left w:type="dxa" w:w="120"/>
              <w:bottom w:type="dxa" w:w="100"/>
              <w:right w:type="dxa" w:w="120"/>
            </w:tcMar>
          </w:tcPr>
          <w:p>
            <w:r>
              <w:rPr>
                <w:b/>
                <w:bCs/>
                <w:color w:val="FFFFFF"/>
                <w:sz w:val="20"/>
                <w:szCs w:val="20"/>
              </w:rPr>
              <w:t xml:space="preserve">Typical cash ask</w:t>
            </w:r>
          </w:p>
        </w:tc>
        <w:tc>
          <w:tcPr>
            <w:tcW w:type="dxa" w:w="3000"/>
            <w:shd w:fill="0B1020" w:val="clear"/>
            <w:tcMar>
              <w:top w:type="dxa" w:w="100"/>
              <w:left w:type="dxa" w:w="120"/>
              <w:bottom w:type="dxa" w:w="100"/>
              <w:right w:type="dxa" w:w="120"/>
            </w:tcMar>
          </w:tcPr>
          <w:p>
            <w:r>
              <w:rPr>
                <w:b/>
                <w:bCs/>
                <w:color w:val="FFFFFF"/>
                <w:sz w:val="20"/>
                <w:szCs w:val="20"/>
              </w:rPr>
              <w:t xml:space="preserve">What this offer is worth instead</w:t>
            </w:r>
          </w:p>
        </w:tc>
      </w:tr>
      <w:tr>
        <w:tc>
          <w:tcPr>
            <w:tcW w:type="dxa" w:w="3000"/>
            <w:tcMar>
              <w:top w:type="dxa" w:w="90"/>
              <w:left w:type="dxa" w:w="120"/>
              <w:bottom w:type="dxa" w:w="90"/>
              <w:right w:type="dxa" w:w="120"/>
            </w:tcMar>
          </w:tcPr>
          <w:p>
            <w:r>
              <w:rPr>
                <w:sz w:val="20"/>
                <w:szCs w:val="20"/>
              </w:rPr>
              <w:t xml:space="preserve">Kind Partner</w:t>
            </w:r>
          </w:p>
        </w:tc>
        <w:tc>
          <w:tcPr>
            <w:tcW w:type="dxa" w:w="3000"/>
            <w:tcMar>
              <w:top w:type="dxa" w:w="90"/>
              <w:left w:type="dxa" w:w="120"/>
              <w:bottom w:type="dxa" w:w="90"/>
              <w:right w:type="dxa" w:w="120"/>
            </w:tcMar>
          </w:tcPr>
          <w:p>
            <w:r>
              <w:rPr>
                <w:sz w:val="20"/>
                <w:szCs w:val="20"/>
              </w:rPr>
              <w:t xml:space="preserve">₹20,000</w:t>
            </w:r>
          </w:p>
        </w:tc>
        <w:tc>
          <w:tcPr>
            <w:tcW w:type="dxa" w:w="3000"/>
            <w:tcMar>
              <w:top w:type="dxa" w:w="90"/>
              <w:left w:type="dxa" w:w="120"/>
              <w:bottom w:type="dxa" w:w="90"/>
              <w:right w:type="dxa" w:w="120"/>
            </w:tcMar>
          </w:tcPr>
          <w:p>
            <w:r>
              <w:rPr>
                <w:sz w:val="20"/>
                <w:szCs w:val="20"/>
              </w:rPr>
              <w:t xml:space="preserve">₹50,000 at today's ₹100 founder price — 2.5× this tier</w:t>
            </w:r>
          </w:p>
        </w:tc>
      </w:tr>
      <w:tr>
        <w:tc>
          <w:tcPr>
            <w:tcW w:type="dxa" w:w="3000"/>
            <w:tcMar>
              <w:top w:type="dxa" w:w="90"/>
              <w:left w:type="dxa" w:w="120"/>
              <w:bottom w:type="dxa" w:w="90"/>
              <w:right w:type="dxa" w:w="120"/>
            </w:tcMar>
          </w:tcPr>
          <w:p>
            <w:r>
              <w:rPr>
                <w:sz w:val="20"/>
                <w:szCs w:val="20"/>
              </w:rPr>
              <w:t xml:space="preserve">Title Sponsor (per event)</w:t>
            </w:r>
          </w:p>
        </w:tc>
        <w:tc>
          <w:tcPr>
            <w:tcW w:type="dxa" w:w="3000"/>
            <w:tcMar>
              <w:top w:type="dxa" w:w="90"/>
              <w:left w:type="dxa" w:w="120"/>
              <w:bottom w:type="dxa" w:w="90"/>
              <w:right w:type="dxa" w:w="120"/>
            </w:tcMar>
          </w:tcPr>
          <w:p>
            <w:r>
              <w:rPr>
                <w:sz w:val="20"/>
                <w:szCs w:val="20"/>
              </w:rPr>
              <w:t xml:space="preserve">₹25,000–₹50,000</w:t>
            </w:r>
          </w:p>
        </w:tc>
        <w:tc>
          <w:tcPr>
            <w:tcW w:type="dxa" w:w="3000"/>
            <w:tcMar>
              <w:top w:type="dxa" w:w="90"/>
              <w:left w:type="dxa" w:w="120"/>
              <w:bottom w:type="dxa" w:w="90"/>
              <w:right w:type="dxa" w:w="120"/>
            </w:tcMar>
          </w:tcPr>
          <w:p>
            <w:r>
              <w:rPr>
                <w:sz w:val="20"/>
                <w:szCs w:val="20"/>
              </w:rPr>
              <w:t xml:space="preserve">Reaches the top of this band, in-kind</w:t>
            </w:r>
          </w:p>
        </w:tc>
      </w:tr>
      <w:tr>
        <w:tc>
          <w:tcPr>
            <w:tcW w:type="dxa" w:w="3000"/>
            <w:tcMar>
              <w:top w:type="dxa" w:w="90"/>
              <w:left w:type="dxa" w:w="120"/>
              <w:bottom w:type="dxa" w:w="90"/>
              <w:right w:type="dxa" w:w="120"/>
            </w:tcMar>
          </w:tcPr>
          <w:p>
            <w:r>
              <w:rPr>
                <w:sz w:val="20"/>
                <w:szCs w:val="20"/>
              </w:rPr>
              <w:t xml:space="preserve">Category Partner (annual)</w:t>
            </w:r>
          </w:p>
        </w:tc>
        <w:tc>
          <w:tcPr>
            <w:tcW w:type="dxa" w:w="3000"/>
            <w:tcMar>
              <w:top w:type="dxa" w:w="90"/>
              <w:left w:type="dxa" w:w="120"/>
              <w:bottom w:type="dxa" w:w="90"/>
              <w:right w:type="dxa" w:w="120"/>
            </w:tcMar>
          </w:tcPr>
          <w:p>
            <w:r>
              <w:rPr>
                <w:sz w:val="20"/>
                <w:szCs w:val="20"/>
              </w:rPr>
              <w:t xml:space="preserve">₹50,000</w:t>
            </w:r>
          </w:p>
        </w:tc>
        <w:tc>
          <w:tcPr>
            <w:tcW w:type="dxa" w:w="3000"/>
            <w:tcMar>
              <w:top w:type="dxa" w:w="90"/>
              <w:left w:type="dxa" w:w="120"/>
              <w:bottom w:type="dxa" w:w="90"/>
              <w:right w:type="dxa" w:w="120"/>
            </w:tcMar>
          </w:tcPr>
          <w:p>
            <w:r>
              <w:rPr>
                <w:sz w:val="20"/>
                <w:szCs w:val="20"/>
              </w:rPr>
              <w:t xml:space="preserve">Matches this tier exactly — with zero cash</w:t>
            </w:r>
          </w:p>
        </w:tc>
      </w:tr>
      <w:tr>
        <w:tc>
          <w:tcPr>
            <w:tcW w:type="dxa" w:w="3000"/>
            <w:tcMar>
              <w:top w:type="dxa" w:w="90"/>
              <w:left w:type="dxa" w:w="120"/>
              <w:bottom w:type="dxa" w:w="90"/>
              <w:right w:type="dxa" w:w="120"/>
            </w:tcMar>
          </w:tcPr>
          <w:p>
            <w:r>
              <w:rPr>
                <w:sz w:val="20"/>
                <w:szCs w:val="20"/>
              </w:rPr>
              <w:t xml:space="preserve">Title Sponsor (annual)</w:t>
            </w:r>
          </w:p>
        </w:tc>
        <w:tc>
          <w:tcPr>
            <w:tcW w:type="dxa" w:w="3000"/>
            <w:tcMar>
              <w:top w:type="dxa" w:w="90"/>
              <w:left w:type="dxa" w:w="120"/>
              <w:bottom w:type="dxa" w:w="90"/>
              <w:right w:type="dxa" w:w="120"/>
            </w:tcMar>
          </w:tcPr>
          <w:p>
            <w:r>
              <w:rPr>
                <w:sz w:val="20"/>
                <w:szCs w:val="20"/>
              </w:rPr>
              <w:t xml:space="preserve">₹1,00,000</w:t>
            </w:r>
          </w:p>
        </w:tc>
        <w:tc>
          <w:tcPr>
            <w:tcW w:type="dxa" w:w="3000"/>
            <w:tcMar>
              <w:top w:type="dxa" w:w="90"/>
              <w:left w:type="dxa" w:w="120"/>
              <w:bottom w:type="dxa" w:w="90"/>
              <w:right w:type="dxa" w:w="120"/>
            </w:tcMar>
          </w:tcPr>
          <w:p>
            <w:r>
              <w:rPr>
                <w:sz w:val="20"/>
                <w:szCs w:val="20"/>
              </w:rPr>
              <w:t xml:space="preserve">₹1,50,000 reference value (₹300/account) is 1.5× this tier</w:t>
            </w:r>
          </w:p>
        </w:tc>
      </w:tr>
    </w:tbl>
    <w:p>
      <w:pPr>
        <w:spacing w:after="140" w:line="320"/>
      </w:pPr>
      <w:r>
        <w:rPr>
          <w:i/>
          <w:iCs/>
          <w:color w:val="555555"/>
          <w:sz w:val="20"/>
          <w:szCs w:val="20"/>
        </w:rPr>
        <w:t xml:space="preserve">These aren't numbers we're asking NMIMS to take on faith — they're simply what those 500 accounts would cost at RoamWise's current public pricing and at a conservative reference value per account. We're not asking for anything on top of that; the 500 passes are the entire commercial consideration.</w:t>
      </w:r>
    </w:p>
    <w:p>
      <w:pPr>
        <w:pStyle w:val="Heading2"/>
        <w:spacing w:after="120" w:before="220"/>
      </w:pPr>
      <w:r>
        <w:rPr>
          <w:b/>
          <w:bCs/>
          <w:color w:val="C8913E"/>
          <w:sz w:val="24"/>
          <w:szCs w:val="24"/>
        </w:rPr>
        <w:t xml:space="preserve">A story worth telling, not just a logo</w:t>
      </w:r>
    </w:p>
    <w:p>
      <w:pPr>
        <w:spacing w:after="140" w:line="320"/>
      </w:pPr>
      <w:r>
        <w:rPr>
          <w:color w:val="222222"/>
          <w:sz w:val="22"/>
          <w:szCs w:val="22"/>
        </w:rPr>
        <w:t xml:space="preserve">“An independent AI travel product, built by one person in the Himalayas, partners with a top B-school's entrepreneurship cell” is a genuinely more interesting story for E-Cell's own channels than another generic brand logo — and it fits an entrepreneurship-focused audience far better than a coupon drop would.</w:t>
      </w:r>
    </w:p>
    <w:p>
      <w:pPr>
        <w:pStyle w:val="Heading1"/>
        <w:spacing w:after="160" w:before="300"/>
      </w:pPr>
      <w:r>
        <w:rPr>
          <w:b/>
          <w:bCs/>
          <w:color w:val="0B1020"/>
          <w:sz w:val="30"/>
          <w:szCs w:val="30"/>
        </w:rPr>
        <w:t xml:space="preserve">What each side actually does</w:t>
      </w:r>
    </w:p>
    <w:p>
      <w:pPr>
        <w:pStyle w:val="Heading2"/>
        <w:spacing w:after="120" w:before="220"/>
      </w:pPr>
      <w:r>
        <w:rPr>
          <w:b/>
          <w:bCs/>
          <w:color w:val="C8913E"/>
          <w:sz w:val="24"/>
          <w:szCs w:val="24"/>
        </w:rPr>
        <w:t xml:space="preserve">From RoamWise</w:t>
      </w:r>
    </w:p>
    <w:p>
      <w:pPr>
        <w:spacing w:after="80"/>
        <w:ind w:left="360"/>
      </w:pPr>
      <w:r>
        <w:rPr>
          <w:sz w:val="22"/>
          <w:szCs w:val="22"/>
        </w:rPr>
        <w:t xml:space="preserve">•  500 lifetime Pro activations — 50 for the organising core team, 450 for students, claimed via a simple QR/link during the fest window</w:t>
      </w:r>
    </w:p>
    <w:p>
      <w:pPr>
        <w:spacing w:after="80"/>
        <w:ind w:left="360"/>
      </w:pPr>
      <w:r>
        <w:rPr>
          <w:sz w:val="22"/>
          <w:szCs w:val="22"/>
        </w:rPr>
        <w:t xml:space="preserve">•  A ready-made “Traveler DNA” quiz and activation concept — something fun for students to do at the booth, not just a scan-and-leave QR</w:t>
      </w:r>
    </w:p>
    <w:p>
      <w:pPr>
        <w:spacing w:after="80"/>
        <w:ind w:left="360"/>
      </w:pPr>
      <w:r>
        <w:rPr>
          <w:sz w:val="22"/>
          <w:szCs w:val="22"/>
        </w:rPr>
        <w:t xml:space="preserve">•  All the creative copy, captions and QR assets — so nobody on the E-Cell team has to write launch content at 1am</w:t>
      </w:r>
    </w:p>
    <w:p>
      <w:pPr>
        <w:spacing w:after="80"/>
        <w:ind w:left="360"/>
      </w:pPr>
      <w:r>
        <w:rPr>
          <w:sz w:val="22"/>
          <w:szCs w:val="22"/>
        </w:rPr>
        <w:t xml:space="preserve">•  A short report after the fest: how many claimed, how it was received, what to improve next time</w:t>
      </w:r>
    </w:p>
    <w:p>
      <w:pPr>
        <w:pStyle w:val="Heading2"/>
        <w:spacing w:after="120" w:before="220"/>
      </w:pPr>
      <w:r>
        <w:rPr>
          <w:b/>
          <w:bCs/>
          <w:color w:val="C8913E"/>
          <w:sz w:val="24"/>
          <w:szCs w:val="24"/>
        </w:rPr>
        <w:t xml:space="preserve">From E-Cell NMIMS</w:t>
      </w:r>
    </w:p>
    <w:p>
      <w:pPr>
        <w:spacing w:after="80"/>
        <w:ind w:left="360"/>
      </w:pPr>
      <w:r>
        <w:rPr>
          <w:sz w:val="22"/>
          <w:szCs w:val="22"/>
        </w:rPr>
        <w:t xml:space="preserve">•  A shoutout as RoamWise's fest travel partner — badge, mention, whatever feels natural to your existing sponsor format</w:t>
      </w:r>
    </w:p>
    <w:p>
      <w:pPr>
        <w:spacing w:after="80"/>
        <w:ind w:left="360"/>
      </w:pPr>
      <w:r>
        <w:rPr>
          <w:sz w:val="22"/>
          <w:szCs w:val="22"/>
        </w:rPr>
        <w:t xml:space="preserve">•  A couple of collaborative reels and some stories across E-Cell's channels</w:t>
      </w:r>
    </w:p>
    <w:p>
      <w:pPr>
        <w:spacing w:after="80"/>
        <w:ind w:left="360"/>
      </w:pPr>
      <w:r>
        <w:rPr>
          <w:sz w:val="22"/>
          <w:szCs w:val="22"/>
        </w:rPr>
        <w:t xml:space="preserve">•  One stage mention and a small QR activation point somewhere on the fest floor</w:t>
      </w:r>
    </w:p>
    <w:p>
      <w:pPr>
        <w:spacing w:after="80"/>
        <w:ind w:left="360"/>
      </w:pPr>
      <w:r>
        <w:rPr>
          <w:sz w:val="22"/>
          <w:szCs w:val="22"/>
        </w:rPr>
        <w:t xml:space="preserve">•  Help running the Traveler DNA quiz / UGC challenge with participants</w:t>
      </w:r>
    </w:p>
    <w:p>
      <w:pPr>
        <w:spacing w:after="140" w:line="320"/>
      </w:pPr>
      <w:r>
        <w:rPr>
          <w:i/>
          <w:iCs/>
          <w:color w:val="555555"/>
          <w:sz w:val="20"/>
          <w:szCs w:val="20"/>
        </w:rPr>
        <w:t xml:space="preserve">The complete, formal list of deliverables — along with the standard partner-exclusivity clause any sponsor of this kind would expect — is in the short MOU that accompanies this proposal. This page is meant to be the version you'd actually enjoy reading.</w:t>
      </w:r>
    </w:p>
    <w:p>
      <w:pPr>
        <w:pStyle w:val="Heading1"/>
        <w:spacing w:after="160" w:before="300"/>
      </w:pPr>
      <w:r>
        <w:rPr>
          <w:b/>
          <w:bCs/>
          <w:color w:val="0B1020"/>
          <w:sz w:val="30"/>
          <w:szCs w:val="30"/>
        </w:rPr>
        <w:t xml:space="preserve">The campaign, in three beats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0B1020" w:val="clear"/>
            <w:tcMar>
              <w:top w:type="dxa" w:w="100"/>
              <w:left w:type="dxa" w:w="120"/>
              <w:bottom w:type="dxa" w:w="100"/>
              <w:right w:type="dxa" w:w="120"/>
            </w:tcMar>
          </w:tcPr>
          <w:p>
            <w:r>
              <w:rPr>
                <w:b/>
                <w:bCs/>
                <w:color w:val="FFFFFF"/>
                <w:sz w:val="20"/>
                <w:szCs w:val="20"/>
              </w:rPr>
              <w:t xml:space="preserve">Phase</w:t>
            </w:r>
          </w:p>
        </w:tc>
        <w:tc>
          <w:tcPr>
            <w:tcW w:type="dxa" w:w="3000"/>
            <w:shd w:fill="0B1020" w:val="clear"/>
            <w:tcMar>
              <w:top w:type="dxa" w:w="100"/>
              <w:left w:type="dxa" w:w="120"/>
              <w:bottom w:type="dxa" w:w="100"/>
              <w:right w:type="dxa" w:w="120"/>
            </w:tcMar>
          </w:tcPr>
          <w:p>
            <w:r>
              <w:rPr>
                <w:b/>
                <w:bCs/>
                <w:color w:val="FFFFFF"/>
                <w:sz w:val="20"/>
                <w:szCs w:val="20"/>
              </w:rPr>
              <w:t xml:space="preserve">Timing</w:t>
            </w:r>
          </w:p>
        </w:tc>
        <w:tc>
          <w:tcPr>
            <w:tcW w:type="dxa" w:w="3000"/>
            <w:shd w:fill="0B1020" w:val="clear"/>
            <w:tcMar>
              <w:top w:type="dxa" w:w="100"/>
              <w:left w:type="dxa" w:w="120"/>
              <w:bottom w:type="dxa" w:w="100"/>
              <w:right w:type="dxa" w:w="120"/>
            </w:tcMar>
          </w:tcPr>
          <w:p>
            <w:r>
              <w:rPr>
                <w:b/>
                <w:bCs/>
                <w:color w:val="FFFFFF"/>
                <w:sz w:val="20"/>
                <w:szCs w:val="20"/>
              </w:rPr>
              <w:t xml:space="preserve">What happens</w:t>
            </w:r>
          </w:p>
        </w:tc>
      </w:tr>
      <w:tr>
        <w:tc>
          <w:tcPr>
            <w:tcW w:type="dxa" w:w="3000"/>
            <w:tcMar>
              <w:top w:type="dxa" w:w="90"/>
              <w:left w:type="dxa" w:w="120"/>
              <w:bottom w:type="dxa" w:w="90"/>
              <w:right w:type="dxa" w:w="120"/>
            </w:tcMar>
          </w:tcPr>
          <w:p>
            <w:r>
              <w:rPr>
                <w:sz w:val="20"/>
                <w:szCs w:val="20"/>
              </w:rPr>
              <w:t xml:space="preserve">Tease</w:t>
            </w:r>
          </w:p>
        </w:tc>
        <w:tc>
          <w:tcPr>
            <w:tcW w:type="dxa" w:w="3000"/>
            <w:tcMar>
              <w:top w:type="dxa" w:w="90"/>
              <w:left w:type="dxa" w:w="120"/>
              <w:bottom w:type="dxa" w:w="90"/>
              <w:right w:type="dxa" w:w="120"/>
            </w:tcMar>
          </w:tcPr>
          <w:p>
            <w:r>
              <w:rPr>
                <w:sz w:val="20"/>
                <w:szCs w:val="20"/>
              </w:rPr>
              <w:t xml:space="preserve">T−14 to T−7</w:t>
            </w:r>
          </w:p>
        </w:tc>
        <w:tc>
          <w:tcPr>
            <w:tcW w:type="dxa" w:w="3000"/>
            <w:tcMar>
              <w:top w:type="dxa" w:w="90"/>
              <w:left w:type="dxa" w:w="120"/>
              <w:bottom w:type="dxa" w:w="90"/>
              <w:right w:type="dxa" w:w="120"/>
            </w:tcMar>
          </w:tcPr>
          <w:p>
            <w:r>
              <w:rPr>
                <w:sz w:val="20"/>
                <w:szCs w:val="20"/>
              </w:rPr>
              <w:t xml:space="preserve">A reel: “500 lifetime travel passes are coming to NMIMS.” Waitlist opens.</w:t>
            </w:r>
          </w:p>
        </w:tc>
      </w:tr>
      <w:tr>
        <w:tc>
          <w:tcPr>
            <w:tcW w:type="dxa" w:w="3000"/>
            <w:tcMar>
              <w:top w:type="dxa" w:w="90"/>
              <w:left w:type="dxa" w:w="120"/>
              <w:bottom w:type="dxa" w:w="90"/>
              <w:right w:type="dxa" w:w="120"/>
            </w:tcMar>
          </w:tcPr>
          <w:p>
            <w:r>
              <w:rPr>
                <w:sz w:val="20"/>
                <w:szCs w:val="20"/>
              </w:rPr>
              <w:t xml:space="preserve">Engage</w:t>
            </w:r>
          </w:p>
        </w:tc>
        <w:tc>
          <w:tcPr>
            <w:tcW w:type="dxa" w:w="3000"/>
            <w:tcMar>
              <w:top w:type="dxa" w:w="90"/>
              <w:left w:type="dxa" w:w="120"/>
              <w:bottom w:type="dxa" w:w="90"/>
              <w:right w:type="dxa" w:w="120"/>
            </w:tcMar>
          </w:tcPr>
          <w:p>
            <w:r>
              <w:rPr>
                <w:sz w:val="20"/>
                <w:szCs w:val="20"/>
              </w:rPr>
              <w:t xml:space="preserve">T−6 to fest day</w:t>
            </w:r>
          </w:p>
        </w:tc>
        <w:tc>
          <w:tcPr>
            <w:tcW w:type="dxa" w:w="3000"/>
            <w:tcMar>
              <w:top w:type="dxa" w:w="90"/>
              <w:left w:type="dxa" w:w="120"/>
              <w:bottom w:type="dxa" w:w="90"/>
              <w:right w:type="dxa" w:w="120"/>
            </w:tcMar>
          </w:tcPr>
          <w:p>
            <w:r>
              <w:rPr>
                <w:sz w:val="20"/>
                <w:szCs w:val="20"/>
              </w:rPr>
              <w:t xml:space="preserve">The Traveler DNA quiz goes live. Students get a persona, then unlock their claim.</w:t>
            </w:r>
          </w:p>
        </w:tc>
      </w:tr>
      <w:tr>
        <w:tc>
          <w:tcPr>
            <w:tcW w:type="dxa" w:w="3000"/>
            <w:tcMar>
              <w:top w:type="dxa" w:w="90"/>
              <w:left w:type="dxa" w:w="120"/>
              <w:bottom w:type="dxa" w:w="90"/>
              <w:right w:type="dxa" w:w="120"/>
            </w:tcMar>
          </w:tcPr>
          <w:p>
            <w:r>
              <w:rPr>
                <w:sz w:val="20"/>
                <w:szCs w:val="20"/>
              </w:rPr>
              <w:t xml:space="preserve">Convert</w:t>
            </w:r>
          </w:p>
        </w:tc>
        <w:tc>
          <w:tcPr>
            <w:tcW w:type="dxa" w:w="3000"/>
            <w:tcMar>
              <w:top w:type="dxa" w:w="90"/>
              <w:left w:type="dxa" w:w="120"/>
              <w:bottom w:type="dxa" w:w="90"/>
              <w:right w:type="dxa" w:w="120"/>
            </w:tcMar>
          </w:tcPr>
          <w:p>
            <w:r>
              <w:rPr>
                <w:sz w:val="20"/>
                <w:szCs w:val="20"/>
              </w:rPr>
              <w:t xml:space="preserve">Fest day to T+7</w:t>
            </w:r>
          </w:p>
        </w:tc>
        <w:tc>
          <w:tcPr>
            <w:tcW w:type="dxa" w:w="3000"/>
            <w:tcMar>
              <w:top w:type="dxa" w:w="90"/>
              <w:left w:type="dxa" w:w="120"/>
              <w:bottom w:type="dxa" w:w="90"/>
              <w:right w:type="dxa" w:w="120"/>
            </w:tcMar>
          </w:tcPr>
          <w:p>
            <w:r>
              <w:rPr>
                <w:sz w:val="20"/>
                <w:szCs w:val="20"/>
              </w:rPr>
              <w:t xml:space="preserve">QR stands, a stage callout, the UGC reel challenge, a recap reel, last-call stories.</w:t>
            </w:r>
          </w:p>
        </w:tc>
      </w:tr>
    </w:tbl>
    <w:p>
      <w:pPr>
        <w:spacing w:after="140" w:line="320"/>
      </w:pPr>
      <w:r>
        <w:rPr>
          <w:i/>
          <w:iCs/>
          <w:color w:val="555555"/>
          <w:sz w:val="20"/>
          <w:szCs w:val="20"/>
        </w:rPr>
        <w:t xml:space="preserve">The UGC challenge is deliberately playful: “Where would you disappear for 3 days?” — with room for stand-up bits, sketches, a 15-second jingle, or a straight travel reel, whatever a student actually wants to make. Top entries get featured on RoamWise's own channels.</w:t>
      </w:r>
    </w:p>
    <w:p>
      <w:pPr>
        <w:pStyle w:val="Heading1"/>
        <w:spacing w:after="160" w:before="300"/>
      </w:pPr>
      <w:r>
        <w:rPr>
          <w:b/>
          <w:bCs/>
          <w:color w:val="0B1020"/>
          <w:sz w:val="30"/>
          <w:szCs w:val="30"/>
        </w:rPr>
        <w:t xml:space="preserve">The upside beyond the 500 free passes</w:t>
      </w:r>
    </w:p>
    <w:p>
      <w:pPr>
        <w:spacing w:after="140" w:line="320"/>
      </w:pPr>
      <w:r>
        <w:rPr>
          <w:color w:val="222222"/>
          <w:sz w:val="22"/>
          <w:szCs w:val="22"/>
        </w:rPr>
        <w:t xml:space="preserve">The 500 passes are the guaranteed part — nothing here changes that. Separately, if any additional students choose to upgrade to a paid RoamWise plan through NMIMS's own tracked referral link, E-Cell earns 30% commission on that sale. This isn't a hypothetical bonus tacked onto the pitch — it's tracked the same way any referral sale on RoamWise is tracked, attributed automatically, and paid out after the campaign period.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0B1020" w:val="clear"/>
            <w:tcMar>
              <w:top w:type="dxa" w:w="100"/>
              <w:left w:type="dxa" w:w="120"/>
              <w:bottom w:type="dxa" w:w="100"/>
              <w:right w:type="dxa" w:w="120"/>
            </w:tcMar>
          </w:tcPr>
          <w:p>
            <w:r>
              <w:rPr>
                <w:b/>
                <w:bCs/>
                <w:color w:val="FFFFFF"/>
                <w:sz w:val="20"/>
                <w:szCs w:val="20"/>
              </w:rPr>
              <w:t xml:space="preserve">Additional paid sign-ups</w:t>
            </w:r>
          </w:p>
        </w:tc>
        <w:tc>
          <w:tcPr>
            <w:tcW w:type="dxa" w:w="3000"/>
            <w:shd w:fill="0B1020" w:val="clear"/>
            <w:tcMar>
              <w:top w:type="dxa" w:w="100"/>
              <w:left w:type="dxa" w:w="120"/>
              <w:bottom w:type="dxa" w:w="100"/>
              <w:right w:type="dxa" w:w="120"/>
            </w:tcMar>
          </w:tcPr>
          <w:p>
            <w:r>
              <w:rPr>
                <w:b/>
                <w:bCs/>
                <w:color w:val="FFFFFF"/>
                <w:sz w:val="20"/>
                <w:szCs w:val="20"/>
              </w:rPr>
              <w:t xml:space="preserve">Tracked sales (at ₹100)</w:t>
            </w:r>
          </w:p>
        </w:tc>
        <w:tc>
          <w:tcPr>
            <w:tcW w:type="dxa" w:w="3000"/>
            <w:shd w:fill="0B1020" w:val="clear"/>
            <w:tcMar>
              <w:top w:type="dxa" w:w="100"/>
              <w:left w:type="dxa" w:w="120"/>
              <w:bottom w:type="dxa" w:w="100"/>
              <w:right w:type="dxa" w:w="120"/>
            </w:tcMar>
          </w:tcPr>
          <w:p>
            <w:r>
              <w:rPr>
                <w:b/>
                <w:bCs/>
                <w:color w:val="FFFFFF"/>
                <w:sz w:val="20"/>
                <w:szCs w:val="20"/>
              </w:rPr>
              <w:t xml:space="preserve">NMIMS commission (30%)</w:t>
            </w:r>
          </w:p>
        </w:tc>
      </w:tr>
      <w:tr>
        <w:tc>
          <w:tcPr>
            <w:tcW w:type="dxa" w:w="3000"/>
            <w:tcMar>
              <w:top w:type="dxa" w:w="90"/>
              <w:left w:type="dxa" w:w="120"/>
              <w:bottom w:type="dxa" w:w="90"/>
              <w:right w:type="dxa" w:w="120"/>
            </w:tcMar>
          </w:tcPr>
          <w:p>
            <w:r>
              <w:rPr>
                <w:sz w:val="20"/>
                <w:szCs w:val="20"/>
              </w:rPr>
              <w:t xml:space="preserve">250</w:t>
            </w:r>
          </w:p>
        </w:tc>
        <w:tc>
          <w:tcPr>
            <w:tcW w:type="dxa" w:w="3000"/>
            <w:tcMar>
              <w:top w:type="dxa" w:w="90"/>
              <w:left w:type="dxa" w:w="120"/>
              <w:bottom w:type="dxa" w:w="90"/>
              <w:right w:type="dxa" w:w="120"/>
            </w:tcMar>
          </w:tcPr>
          <w:p>
            <w:r>
              <w:rPr>
                <w:sz w:val="20"/>
                <w:szCs w:val="20"/>
              </w:rPr>
              <w:t xml:space="preserve">₹25,000</w:t>
            </w:r>
          </w:p>
        </w:tc>
        <w:tc>
          <w:tcPr>
            <w:tcW w:type="dxa" w:w="3000"/>
            <w:tcMar>
              <w:top w:type="dxa" w:w="90"/>
              <w:left w:type="dxa" w:w="120"/>
              <w:bottom w:type="dxa" w:w="90"/>
              <w:right w:type="dxa" w:w="120"/>
            </w:tcMar>
          </w:tcPr>
          <w:p>
            <w:r>
              <w:rPr>
                <w:sz w:val="20"/>
                <w:szCs w:val="20"/>
              </w:rPr>
              <w:t xml:space="preserve">₹7,500</w:t>
            </w:r>
          </w:p>
        </w:tc>
      </w:tr>
      <w:tr>
        <w:tc>
          <w:tcPr>
            <w:tcW w:type="dxa" w:w="3000"/>
            <w:tcMar>
              <w:top w:type="dxa" w:w="90"/>
              <w:left w:type="dxa" w:w="120"/>
              <w:bottom w:type="dxa" w:w="90"/>
              <w:right w:type="dxa" w:w="120"/>
            </w:tcMar>
          </w:tcPr>
          <w:p>
            <w:r>
              <w:rPr>
                <w:sz w:val="20"/>
                <w:szCs w:val="20"/>
              </w:rPr>
              <w:t xml:space="preserve">500</w:t>
            </w:r>
          </w:p>
        </w:tc>
        <w:tc>
          <w:tcPr>
            <w:tcW w:type="dxa" w:w="3000"/>
            <w:tcMar>
              <w:top w:type="dxa" w:w="90"/>
              <w:left w:type="dxa" w:w="120"/>
              <w:bottom w:type="dxa" w:w="90"/>
              <w:right w:type="dxa" w:w="120"/>
            </w:tcMar>
          </w:tcPr>
          <w:p>
            <w:r>
              <w:rPr>
                <w:sz w:val="20"/>
                <w:szCs w:val="20"/>
              </w:rPr>
              <w:t xml:space="preserve">₹50,000</w:t>
            </w:r>
          </w:p>
        </w:tc>
        <w:tc>
          <w:tcPr>
            <w:tcW w:type="dxa" w:w="3000"/>
            <w:tcMar>
              <w:top w:type="dxa" w:w="90"/>
              <w:left w:type="dxa" w:w="120"/>
              <w:bottom w:type="dxa" w:w="90"/>
              <w:right w:type="dxa" w:w="120"/>
            </w:tcMar>
          </w:tcPr>
          <w:p>
            <w:r>
              <w:rPr>
                <w:sz w:val="20"/>
                <w:szCs w:val="20"/>
              </w:rPr>
              <w:t xml:space="preserve">₹15,000</w:t>
            </w:r>
          </w:p>
        </w:tc>
      </w:tr>
      <w:tr>
        <w:tc>
          <w:tcPr>
            <w:tcW w:type="dxa" w:w="3000"/>
            <w:tcMar>
              <w:top w:type="dxa" w:w="90"/>
              <w:left w:type="dxa" w:w="120"/>
              <w:bottom w:type="dxa" w:w="90"/>
              <w:right w:type="dxa" w:w="120"/>
            </w:tcMar>
          </w:tcPr>
          <w:p>
            <w:r>
              <w:rPr>
                <w:sz w:val="20"/>
                <w:szCs w:val="20"/>
              </w:rPr>
              <w:t xml:space="preserve">1,000</w:t>
            </w:r>
          </w:p>
        </w:tc>
        <w:tc>
          <w:tcPr>
            <w:tcW w:type="dxa" w:w="3000"/>
            <w:tcMar>
              <w:top w:type="dxa" w:w="90"/>
              <w:left w:type="dxa" w:w="120"/>
              <w:bottom w:type="dxa" w:w="90"/>
              <w:right w:type="dxa" w:w="120"/>
            </w:tcMar>
          </w:tcPr>
          <w:p>
            <w:r>
              <w:rPr>
                <w:sz w:val="20"/>
                <w:szCs w:val="20"/>
              </w:rPr>
              <w:t xml:space="preserve">₹1,00,000</w:t>
            </w:r>
          </w:p>
        </w:tc>
        <w:tc>
          <w:tcPr>
            <w:tcW w:type="dxa" w:w="3000"/>
            <w:tcMar>
              <w:top w:type="dxa" w:w="90"/>
              <w:left w:type="dxa" w:w="120"/>
              <w:bottom w:type="dxa" w:w="90"/>
              <w:right w:type="dxa" w:w="120"/>
            </w:tcMar>
          </w:tcPr>
          <w:p>
            <w:r>
              <w:rPr>
                <w:sz w:val="20"/>
                <w:szCs w:val="20"/>
              </w:rPr>
              <w:t xml:space="preserve">₹30,000</w:t>
            </w:r>
          </w:p>
        </w:tc>
      </w:tr>
      <w:tr>
        <w:tc>
          <w:tcPr>
            <w:tcW w:type="dxa" w:w="3000"/>
            <w:tcMar>
              <w:top w:type="dxa" w:w="90"/>
              <w:left w:type="dxa" w:w="120"/>
              <w:bottom w:type="dxa" w:w="90"/>
              <w:right w:type="dxa" w:w="120"/>
            </w:tcMar>
          </w:tcPr>
          <w:p>
            <w:r>
              <w:rPr>
                <w:sz w:val="20"/>
                <w:szCs w:val="20"/>
              </w:rPr>
              <w:t xml:space="preserve">2,000</w:t>
            </w:r>
          </w:p>
        </w:tc>
        <w:tc>
          <w:tcPr>
            <w:tcW w:type="dxa" w:w="3000"/>
            <w:tcMar>
              <w:top w:type="dxa" w:w="90"/>
              <w:left w:type="dxa" w:w="120"/>
              <w:bottom w:type="dxa" w:w="90"/>
              <w:right w:type="dxa" w:w="120"/>
            </w:tcMar>
          </w:tcPr>
          <w:p>
            <w:r>
              <w:rPr>
                <w:sz w:val="20"/>
                <w:szCs w:val="20"/>
              </w:rPr>
              <w:t xml:space="preserve">₹2,00,000</w:t>
            </w:r>
          </w:p>
        </w:tc>
        <w:tc>
          <w:tcPr>
            <w:tcW w:type="dxa" w:w="3000"/>
            <w:tcMar>
              <w:top w:type="dxa" w:w="90"/>
              <w:left w:type="dxa" w:w="120"/>
              <w:bottom w:type="dxa" w:w="90"/>
              <w:right w:type="dxa" w:w="120"/>
            </w:tcMar>
          </w:tcPr>
          <w:p>
            <w:r>
              <w:rPr>
                <w:sz w:val="20"/>
                <w:szCs w:val="20"/>
              </w:rPr>
              <w:t xml:space="preserve">₹60,000</w:t>
            </w:r>
          </w:p>
        </w:tc>
      </w:tr>
    </w:tbl>
    <w:p>
      <w:pPr>
        <w:spacing w:after="140" w:line="320"/>
      </w:pPr>
      <w:r>
        <w:rPr>
          <w:color w:val="555555"/>
          <w:sz w:val="20"/>
          <w:szCs w:val="20"/>
        </w:rPr>
        <w:t xml:space="preserve">With 5,000+ expected footfall at the fest, even a modest 20% conversion beyond the free 500 would mean real money for E-Cell — on top of, not instead of, the 500 free accounts.</w:t>
      </w:r>
    </w:p>
    <w:p>
      <w:pPr>
        <w:pStyle w:val="Heading1"/>
        <w:spacing w:after="160" w:before="300"/>
      </w:pPr>
      <w:r>
        <w:rPr>
          <w:b/>
          <w:bCs/>
          <w:color w:val="0B1020"/>
          <w:sz w:val="30"/>
          <w:szCs w:val="30"/>
        </w:rPr>
        <w:t xml:space="preserve">Data, handled plainly</w:t>
      </w:r>
    </w:p>
    <w:p>
      <w:pPr>
        <w:spacing w:after="140" w:line="320"/>
      </w:pPr>
      <w:r>
        <w:rPr>
          <w:color w:val="222222"/>
          <w:sz w:val="22"/>
          <w:szCs w:val="22"/>
        </w:rPr>
        <w:t xml:space="preserve">RoamWise gets to see how the campaign performed — reach, claims, activation numbers — at an aggregate level automatically. Anything more personal (a student's name, email, or contact details beyond what's needed to activate their own account) is only ever shared if that student explicitly opts in when they register. Nobody's password, payment details, or private trip data is ever part of this exchange, on either side.</w:t>
      </w:r>
    </w:p>
    <w:p>
      <w:pPr>
        <w:pStyle w:val="Heading1"/>
        <w:spacing w:after="160" w:before="300"/>
      </w:pPr>
      <w:r>
        <w:rPr>
          <w:b/>
          <w:bCs/>
          <w:color w:val="0B1020"/>
          <w:sz w:val="30"/>
          <w:szCs w:val="30"/>
        </w:rPr>
        <w:t xml:space="preserve">Where this leaves us</w:t>
      </w:r>
    </w:p>
    <w:p>
      <w:pPr>
        <w:spacing w:after="140" w:line="320"/>
      </w:pPr>
      <w:r>
        <w:rPr>
          <w:color w:val="222222"/>
          <w:sz w:val="22"/>
          <w:szCs w:val="22"/>
        </w:rPr>
        <w:t xml:space="preserve">This is meant to be a straightforward, easy yes: a real benefit for your students, a fair and clearly-priced exchange for both sides, and an upside that only helps you if it works well. If the framing above feels right, the accompanying short MOU has the exact terms ready for signature.</w:t>
      </w:r>
    </w:p>
    <w:p>
      <w:pPr>
        <w:spacing w:before="400"/>
      </w:pPr>
      <w:r>
        <w:rPr>
          <w:i/>
          <w:iCs/>
          <w:color w:val="555555"/>
          <w:sz w:val="20"/>
          <w:szCs w:val="20"/>
        </w:rPr>
        <w:t xml:space="preserve">Prepared by Mohit Pandey, Founder, RoamWise — for discussion with E-Cell NMIMS Mumbai,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2026-08-27T04:31:41.487Z</dcterms:created>
  <dcterms:modified xsi:type="dcterms:W3CDTF">2026-08-27T04:31:41.500Z</dcterms:modified>
</cp:coreProperties>
</file>

<file path=docProps/custom.xml><?xml version="1.0" encoding="utf-8"?>
<Properties xmlns="http://schemas.openxmlformats.org/officeDocument/2006/custom-properties" xmlns:vt="http://schemas.openxmlformats.org/officeDocument/2006/docPropsVTypes"/>
</file>