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020"/>
          <w:sz w:val="30"/>
          <w:szCs w:val="30"/>
        </w:rPr>
        <w:t xml:space="preserve">MEMORANDUM OF UNDERSTANDING</w:t>
      </w:r>
    </w:p>
    <w:p>
      <w:pPr>
        <w:spacing w:after="40"/>
        <w:jc w:val="center"/>
      </w:pPr>
      <w:r>
        <w:rPr>
          <w:i/>
          <w:iCs/>
          <w:color w:val="C8913E"/>
          <w:sz w:val="22"/>
          <w:szCs w:val="22"/>
        </w:rPr>
        <w:t xml:space="preserve">RoamWise × E-Cell NMIMS Mumbai — Barter Partnership</w:t>
      </w:r>
    </w:p>
    <w:p>
      <w:pPr>
        <w:spacing w:after="280"/>
        <w:jc w:val="center"/>
      </w:pPr>
      <w:r>
        <w:rPr>
          <w:i/>
          <w:iCs/>
          <w:color w:val="555555"/>
          <w:sz w:val="18"/>
          <w:szCs w:val="18"/>
        </w:rPr>
        <w:t xml:space="preserve">This document contains the binding terms. The accompanying Commercial Proposal explains the reasoning; this Annexure is what governs if the two ever disagree.</w:t>
      </w:r>
    </w:p>
    <w:p>
      <w:pPr>
        <w:pStyle w:val="Heading1"/>
        <w:spacing w:after="140" w:before="260"/>
      </w:pPr>
      <w:r>
        <w:rPr>
          <w:b/>
          <w:bCs/>
          <w:color w:val="0B1020"/>
          <w:sz w:val="26"/>
          <w:szCs w:val="26"/>
        </w:rPr>
        <w:t xml:space="preserve">1. Parties and purpose</w:t>
      </w:r>
    </w:p>
    <w:p>
      <w:pPr>
        <w:spacing w:after="60" w:before="180"/>
      </w:pPr>
      <w:r>
        <w:rPr>
          <w:b/>
          <w:bCs/>
          <w:color w:val="C8913E"/>
          <w:sz w:val="22"/>
          <w:szCs w:val="22"/>
        </w:rPr>
        <w:t xml:space="preserve">1.1. Parties</w:t>
      </w:r>
    </w:p>
    <w:p>
      <w:pPr>
        <w:spacing w:after="120" w:line="300"/>
      </w:pPr>
      <w:r>
        <w:rPr>
          <w:sz w:val="21"/>
          <w:szCs w:val="21"/>
        </w:rPr>
        <w:t xml:space="preserve">This MOU is between RoamWise (“RoamWise”), represented by its founder Mohit Pandey, and E-Cell NMIMS Mumbai or its authorised organising body (“NMIMS”), for a student-focused AI travel partnership around an agreed 2026 fest or activation (the “Event”).</w:t>
      </w:r>
    </w:p>
    <w:p>
      <w:pPr>
        <w:spacing w:after="60" w:before="180"/>
      </w:pPr>
      <w:r>
        <w:rPr>
          <w:b/>
          <w:bCs/>
          <w:color w:val="C8913E"/>
          <w:sz w:val="22"/>
          <w:szCs w:val="22"/>
        </w:rPr>
        <w:t xml:space="preserve">1.2. Nature of consideration</w:t>
      </w:r>
    </w:p>
    <w:p>
      <w:pPr>
        <w:spacing w:after="120" w:line="300"/>
      </w:pPr>
      <w:r>
        <w:rPr>
          <w:sz w:val="21"/>
          <w:szCs w:val="21"/>
        </w:rPr>
        <w:t xml:space="preserve">The consideration for this partnership is entirely in-kind (barter). Neither party owes the other a cash sponsorship, listing, category, or participation fee for the scope described here. This does not affect Clause 6, which is a separate, performance-based referral commission earned only on additional paid sales.</w:t>
      </w:r>
    </w:p>
    <w:p>
      <w:pPr>
        <w:pStyle w:val="Heading1"/>
        <w:spacing w:after="140" w:before="260"/>
      </w:pPr>
      <w:r>
        <w:rPr>
          <w:b/>
          <w:bCs/>
          <w:color w:val="0B1020"/>
          <w:sz w:val="26"/>
          <w:szCs w:val="26"/>
        </w:rPr>
        <w:t xml:space="preserve">2. RoamWise provides</w:t>
      </w:r>
    </w:p>
    <w:p>
      <w:pPr>
        <w:spacing w:after="60" w:before="180"/>
      </w:pPr>
      <w:r>
        <w:rPr>
          <w:b/>
          <w:bCs/>
          <w:color w:val="C8913E"/>
          <w:sz w:val="22"/>
          <w:szCs w:val="22"/>
        </w:rPr>
        <w:t xml:space="preserve">2.1. Account allocation</w:t>
      </w:r>
    </w:p>
    <w:p>
      <w:pPr>
        <w:spacing w:after="120" w:line="300"/>
      </w:pPr>
      <w:r>
        <w:rPr>
          <w:sz w:val="21"/>
          <w:szCs w:val="21"/>
        </w:rPr>
        <w:t xml:space="preserve">Up to 500 lifetime RoamWise Pro activations, split 50 for E-Cell organisers/core team and 450 for students, claimed via a unique QR/link within the claim window in Clause 4.</w:t>
      </w:r>
    </w:p>
    <w:p>
      <w:pPr>
        <w:spacing w:after="60" w:before="180"/>
      </w:pPr>
      <w:r>
        <w:rPr>
          <w:b/>
          <w:bCs/>
          <w:color w:val="C8913E"/>
          <w:sz w:val="22"/>
          <w:szCs w:val="22"/>
        </w:rPr>
        <w:t xml:space="preserve">2.2. Reference value</w:t>
      </w:r>
    </w:p>
    <w:p>
      <w:pPr>
        <w:spacing w:after="120" w:line="300"/>
      </w:pPr>
      <w:r>
        <w:rPr>
          <w:sz w:val="21"/>
          <w:szCs w:val="21"/>
        </w:rPr>
        <w:t xml:space="preserve">The parties acknowledge a founder-price equivalent of ₹50,000 (500 × ₹100) and an illustrative reference value of ₹1,50,000 (500 × ₹300) for this allocation. These figures are provided for context and do not create any cash payment obligation.</w:t>
      </w:r>
    </w:p>
    <w:p>
      <w:pPr>
        <w:spacing w:after="60" w:before="180"/>
      </w:pPr>
      <w:r>
        <w:rPr>
          <w:b/>
          <w:bCs/>
          <w:color w:val="C8913E"/>
          <w:sz w:val="22"/>
          <w:szCs w:val="22"/>
        </w:rPr>
        <w:t xml:space="preserve">2.3. Campaign support</w:t>
      </w:r>
    </w:p>
    <w:p>
      <w:pPr>
        <w:spacing w:after="120" w:line="300"/>
      </w:pPr>
      <w:r>
        <w:rPr>
          <w:sz w:val="21"/>
          <w:szCs w:val="21"/>
        </w:rPr>
        <w:t xml:space="preserve">A claim mechanism, the Traveler DNA quiz concept, campaign creative/copy, and a post-campaign summary report (reach, claims, activation numbers).</w:t>
      </w:r>
    </w:p>
    <w:p>
      <w:pPr>
        <w:pStyle w:val="Heading1"/>
        <w:spacing w:after="140" w:before="260"/>
      </w:pPr>
      <w:r>
        <w:rPr>
          <w:b/>
          <w:bCs/>
          <w:color w:val="0B1020"/>
          <w:sz w:val="26"/>
          <w:szCs w:val="26"/>
        </w:rPr>
        <w:t xml:space="preserve">3. NMIMS provides</w:t>
      </w:r>
    </w:p>
    <w:p>
      <w:pPr>
        <w:spacing w:after="60" w:before="180"/>
      </w:pPr>
      <w:r>
        <w:rPr>
          <w:b/>
          <w:bCs/>
          <w:color w:val="C8913E"/>
          <w:sz w:val="22"/>
          <w:szCs w:val="22"/>
        </w:rPr>
        <w:t xml:space="preserve">3.1. Partner designation</w:t>
      </w:r>
    </w:p>
    <w:p>
      <w:pPr>
        <w:spacing w:after="120" w:line="300"/>
      </w:pPr>
      <w:r>
        <w:rPr>
          <w:sz w:val="21"/>
          <w:szCs w:val="21"/>
        </w:rPr>
        <w:t xml:space="preserve">Recognition of RoamWise as “Proposed AI Travel Partner” for the Event, upgraded to “Official AI Travel Partner” automatically once this MOU is signed by both parties.</w:t>
      </w:r>
    </w:p>
    <w:p>
      <w:pPr>
        <w:spacing w:after="60" w:before="180"/>
      </w:pPr>
      <w:r>
        <w:rPr>
          <w:b/>
          <w:bCs/>
          <w:color w:val="C8913E"/>
          <w:sz w:val="22"/>
          <w:szCs w:val="22"/>
        </w:rPr>
        <w:t xml:space="preserve">3.2. Category exclusivity</w:t>
      </w:r>
    </w:p>
    <w:p>
      <w:pPr>
        <w:spacing w:after="120" w:line="300"/>
      </w:pPr>
      <w:r>
        <w:rPr>
          <w:sz w:val="21"/>
          <w:szCs w:val="21"/>
        </w:rPr>
        <w:t xml:space="preserve">For the Event term only, NMIMS will not grant an equal or higher “AI Travel Partner” designation to a directly competing AI travel-planning product without RoamWise's written consent. This does not restrict airlines, hotels, OTAs, or non-competing travel brands.</w:t>
      </w:r>
    </w:p>
    <w:p>
      <w:pPr>
        <w:spacing w:after="60" w:before="180"/>
      </w:pPr>
      <w:r>
        <w:rPr>
          <w:b/>
          <w:bCs/>
          <w:color w:val="C8913E"/>
          <w:sz w:val="22"/>
          <w:szCs w:val="22"/>
        </w:rPr>
        <w:t xml:space="preserve">3.3. Promotional support</w:t>
      </w:r>
    </w:p>
    <w:p>
      <w:pPr>
        <w:spacing w:after="120" w:line="300"/>
      </w:pPr>
      <w:r>
        <w:rPr>
          <w:sz w:val="21"/>
          <w:szCs w:val="21"/>
        </w:rPr>
        <w:t xml:space="preserve">Two collaborative reels, four stories, one LinkedIn post, two community/WhatsApp pushes, one stage mention, and a QR activation point at the Event, plus support running the quiz/UGC challenge.</w:t>
      </w:r>
    </w:p>
    <w:p>
      <w:pPr>
        <w:pStyle w:val="Heading1"/>
        <w:spacing w:after="140" w:before="260"/>
      </w:pPr>
      <w:r>
        <w:rPr>
          <w:b/>
          <w:bCs/>
          <w:color w:val="0B1020"/>
          <w:sz w:val="26"/>
          <w:szCs w:val="26"/>
        </w:rPr>
        <w:t xml:space="preserve">4. Claim window and eligibility</w:t>
      </w:r>
    </w:p>
    <w:p>
      <w:pPr>
        <w:spacing w:after="60" w:before="180"/>
      </w:pPr>
      <w:r>
        <w:rPr>
          <w:b/>
          <w:bCs/>
          <w:color w:val="C8913E"/>
          <w:sz w:val="22"/>
          <w:szCs w:val="22"/>
        </w:rPr>
        <w:t xml:space="preserve">4.1. Window</w:t>
      </w:r>
    </w:p>
    <w:p>
      <w:pPr>
        <w:spacing w:after="120" w:line="300"/>
      </w:pPr>
      <w:r>
        <w:rPr>
          <w:sz w:val="21"/>
          <w:szCs w:val="21"/>
        </w:rPr>
        <w:t xml:space="preserve">Claims must be made within 30 days after the Event. Unclaimed allocations revert to RoamWise and may be reassigned at RoamWise's discretion.</w:t>
      </w:r>
    </w:p>
    <w:p>
      <w:pPr>
        <w:spacing w:after="60" w:before="180"/>
      </w:pPr>
      <w:r>
        <w:rPr>
          <w:b/>
          <w:bCs/>
          <w:color w:val="C8913E"/>
          <w:sz w:val="22"/>
          <w:szCs w:val="22"/>
        </w:rPr>
        <w:t xml:space="preserve">4.2. Organiser verification</w:t>
      </w:r>
    </w:p>
    <w:p>
      <w:pPr>
        <w:spacing w:after="120" w:line="300"/>
      </w:pPr>
      <w:r>
        <w:rPr>
          <w:sz w:val="21"/>
          <w:szCs w:val="21"/>
        </w:rPr>
        <w:t xml:space="preserve">Organiser-tier claims (the 50-account pool) require an invite code issued by RoamWise to NMIMS's core team; this prevents the organiser allocation being claimed by students or outside parties.</w:t>
      </w:r>
    </w:p>
    <w:p>
      <w:pPr>
        <w:spacing w:after="60" w:before="180"/>
      </w:pPr>
      <w:r>
        <w:rPr>
          <w:b/>
          <w:bCs/>
          <w:color w:val="C8913E"/>
          <w:sz w:val="22"/>
          <w:szCs w:val="22"/>
        </w:rPr>
        <w:t xml:space="preserve">4.3. Persistence</w:t>
      </w:r>
    </w:p>
    <w:p>
      <w:pPr>
        <w:spacing w:after="120" w:line="300"/>
      </w:pPr>
      <w:r>
        <w:rPr>
          <w:sz w:val="21"/>
          <w:szCs w:val="21"/>
        </w:rPr>
        <w:t xml:space="preserve">Once validly activated, lifetime access continues under RoamWise's standard product terms and is not conditional on the continuation of this partnership.</w:t>
      </w:r>
    </w:p>
    <w:p>
      <w:pPr>
        <w:pStyle w:val="Heading1"/>
        <w:spacing w:after="140" w:before="260"/>
      </w:pPr>
      <w:r>
        <w:rPr>
          <w:b/>
          <w:bCs/>
          <w:color w:val="0B1020"/>
          <w:sz w:val="26"/>
          <w:szCs w:val="26"/>
        </w:rPr>
        <w:t xml:space="preserve">5. Data handling</w:t>
      </w:r>
    </w:p>
    <w:p>
      <w:pPr>
        <w:spacing w:after="60" w:before="180"/>
      </w:pPr>
      <w:r>
        <w:rPr>
          <w:b/>
          <w:bCs/>
          <w:color w:val="C8913E"/>
          <w:sz w:val="22"/>
          <w:szCs w:val="22"/>
        </w:rPr>
        <w:t xml:space="preserve">5.1. Aggregate attribution</w:t>
      </w:r>
    </w:p>
    <w:p>
      <w:pPr>
        <w:spacing w:after="120" w:line="300"/>
      </w:pPr>
      <w:r>
        <w:rPr>
          <w:sz w:val="21"/>
          <w:szCs w:val="21"/>
        </w:rPr>
        <w:t xml:space="preserve">Campaign-level metrics (claims, activation counts, reach) may be shared between the parties for measuring this partnership.</w:t>
      </w:r>
    </w:p>
    <w:p>
      <w:pPr>
        <w:spacing w:after="60" w:before="180"/>
      </w:pPr>
      <w:r>
        <w:rPr>
          <w:b/>
          <w:bCs/>
          <w:color w:val="C8913E"/>
          <w:sz w:val="22"/>
          <w:szCs w:val="22"/>
        </w:rPr>
        <w:t xml:space="preserve">5.2. Personal data</w:t>
      </w:r>
    </w:p>
    <w:p>
      <w:pPr>
        <w:spacing w:after="120" w:line="300"/>
      </w:pPr>
      <w:r>
        <w:rPr>
          <w:sz w:val="21"/>
          <w:szCs w:val="21"/>
        </w:rPr>
        <w:t xml:space="preserve">Name, email, or other person-level details are shared only where the individual has explicitly consented at the point of registration. Passwords, payment credentials, API keys, and private trip content are never shared under this MOU.</w:t>
      </w:r>
    </w:p>
    <w:p>
      <w:pPr>
        <w:pStyle w:val="Heading1"/>
        <w:spacing w:after="140" w:before="260"/>
      </w:pPr>
      <w:r>
        <w:rPr>
          <w:b/>
          <w:bCs/>
          <w:color w:val="0B1020"/>
          <w:sz w:val="26"/>
          <w:szCs w:val="26"/>
        </w:rPr>
        <w:t xml:space="preserve">6. Optional paid-referral commission (separate from Clause 2)</w:t>
      </w:r>
    </w:p>
    <w:p>
      <w:pPr>
        <w:spacing w:after="60" w:before="180"/>
      </w:pPr>
      <w:r>
        <w:rPr>
          <w:b/>
          <w:bCs/>
          <w:color w:val="C8913E"/>
          <w:sz w:val="22"/>
          <w:szCs w:val="22"/>
        </w:rPr>
        <w:t xml:space="preserve">6.1. Mechanism</w:t>
      </w:r>
    </w:p>
    <w:p>
      <w:pPr>
        <w:spacing w:after="120" w:line="300"/>
      </w:pPr>
      <w:r>
        <w:rPr>
          <w:sz w:val="21"/>
          <w:szCs w:val="21"/>
        </w:rPr>
        <w:t xml:space="preserve">RoamWise will generate one unique NMIMS referral code/link. Any additional Pro purchase (beyond the 500 complimentary accounts) attributed to that code during the campaign period earns NMIMS 30% commission on the tracked, customer-paid amount.</w:t>
      </w:r>
    </w:p>
    <w:p>
      <w:pPr>
        <w:spacing w:after="60" w:before="180"/>
      </w:pPr>
      <w:r>
        <w:rPr>
          <w:b/>
          <w:bCs/>
          <w:color w:val="C8913E"/>
          <w:sz w:val="22"/>
          <w:szCs w:val="22"/>
        </w:rPr>
        <w:t xml:space="preserve">6.2. Exclusions</w:t>
      </w:r>
    </w:p>
    <w:p>
      <w:pPr>
        <w:spacing w:after="120" w:line="300"/>
      </w:pPr>
      <w:r>
        <w:rPr>
          <w:sz w:val="21"/>
          <w:szCs w:val="21"/>
        </w:rPr>
        <w:t xml:space="preserve">The 500 complimentary activations under Clause 2 never earn commission. Refunded or charged-back purchases are excluded from the reconciled total.</w:t>
      </w:r>
    </w:p>
    <w:p>
      <w:pPr>
        <w:spacing w:after="60" w:before="180"/>
      </w:pPr>
      <w:r>
        <w:rPr>
          <w:b/>
          <w:bCs/>
          <w:color w:val="C8913E"/>
          <w:sz w:val="22"/>
          <w:szCs w:val="22"/>
        </w:rPr>
        <w:t xml:space="preserve">6.3. Settlement</w:t>
      </w:r>
    </w:p>
    <w:p>
      <w:pPr>
        <w:spacing w:after="120" w:line="300"/>
      </w:pPr>
      <w:r>
        <w:rPr>
          <w:sz w:val="21"/>
          <w:szCs w:val="21"/>
        </w:rPr>
        <w:t xml:space="preserve">RoamWise will reconcile and pay the commission after the campaign period ends, subject to standard invoice/tax documentation and any withholding required by applicable law.</w:t>
      </w:r>
    </w:p>
    <w:p>
      <w:pPr>
        <w:pStyle w:val="Heading1"/>
        <w:spacing w:after="140" w:before="260"/>
      </w:pPr>
      <w:r>
        <w:rPr>
          <w:b/>
          <w:bCs/>
          <w:color w:val="0B1020"/>
          <w:sz w:val="26"/>
          <w:szCs w:val="26"/>
        </w:rPr>
        <w:t xml:space="preserve">7. Missed deliverables</w:t>
      </w:r>
    </w:p>
    <w:p>
      <w:pPr>
        <w:spacing w:after="60" w:before="180"/>
      </w:pPr>
      <w:r>
        <w:rPr>
          <w:b/>
          <w:bCs/>
          <w:color w:val="C8913E"/>
          <w:sz w:val="22"/>
          <w:szCs w:val="22"/>
        </w:rPr>
        <w:t xml:space="preserve">7.1. Make-good, not cash</w:t>
      </w:r>
    </w:p>
    <w:p>
      <w:pPr>
        <w:spacing w:after="120" w:line="300"/>
      </w:pPr>
      <w:r>
        <w:rPr>
          <w:sz w:val="21"/>
          <w:szCs w:val="21"/>
        </w:rPr>
        <w:t xml:space="preserve">If either party cannot complete an agreed deliverable (e.g. a reel doesn't go out, a stage slot falls through), the remedy is a non-cash make-good of comparable value within 30 days — not a cash payment or penalty — unless both parties agree otherwise in writing.</w:t>
      </w:r>
    </w:p>
    <w:p>
      <w:pPr>
        <w:pStyle w:val="Heading1"/>
        <w:spacing w:after="140" w:before="260"/>
      </w:pPr>
      <w:r>
        <w:rPr>
          <w:b/>
          <w:bCs/>
          <w:color w:val="0B1020"/>
          <w:sz w:val="26"/>
          <w:szCs w:val="26"/>
        </w:rPr>
        <w:t xml:space="preserve">8. Term and termination</w:t>
      </w:r>
    </w:p>
    <w:p>
      <w:pPr>
        <w:spacing w:after="60" w:before="180"/>
      </w:pPr>
      <w:r>
        <w:rPr>
          <w:b/>
          <w:bCs/>
          <w:color w:val="C8913E"/>
          <w:sz w:val="22"/>
          <w:szCs w:val="22"/>
        </w:rPr>
        <w:t xml:space="preserve">8.1. Term</w:t>
      </w:r>
    </w:p>
    <w:p>
      <w:pPr>
        <w:spacing w:after="120" w:line="300"/>
      </w:pPr>
      <w:r>
        <w:rPr>
          <w:sz w:val="21"/>
          <w:szCs w:val="21"/>
        </w:rPr>
        <w:t xml:space="preserve">This MOU begins on signature and concludes 30 days after the Event for campaign obligations, except Clauses 4.3 (activated access), 5 (data), and 6 (any pending commission), which survive.</w:t>
      </w:r>
    </w:p>
    <w:p>
      <w:pPr>
        <w:spacing w:after="60" w:before="180"/>
      </w:pPr>
      <w:r>
        <w:rPr>
          <w:b/>
          <w:bCs/>
          <w:color w:val="C8913E"/>
          <w:sz w:val="22"/>
          <w:szCs w:val="22"/>
        </w:rPr>
        <w:t xml:space="preserve">8.2. Termination for breach</w:t>
      </w:r>
    </w:p>
    <w:p>
      <w:pPr>
        <w:spacing w:after="120" w:line="300"/>
      </w:pPr>
      <w:r>
        <w:rPr>
          <w:sz w:val="21"/>
          <w:szCs w:val="21"/>
        </w:rPr>
        <w:t xml:space="preserve">Either party may terminate for material breach after a reasonable written opportunity to cure. Unused account allocations revert to RoamWise on termination.</w:t>
      </w:r>
    </w:p>
    <w:p>
      <w:pPr>
        <w:pStyle w:val="Heading1"/>
        <w:spacing w:after="140" w:before="260"/>
      </w:pPr>
      <w:r>
        <w:rPr>
          <w:b/>
          <w:bCs/>
          <w:color w:val="0B1020"/>
          <w:sz w:val="26"/>
          <w:szCs w:val="26"/>
        </w:rPr>
        <w:t xml:space="preserve">9. Entire agreement</w:t>
      </w:r>
    </w:p>
    <w:p>
      <w:pPr>
        <w:spacing w:after="60" w:before="180"/>
      </w:pPr>
      <w:r>
        <w:rPr>
          <w:b/>
          <w:bCs/>
          <w:color w:val="C8913E"/>
          <w:sz w:val="22"/>
          <w:szCs w:val="22"/>
        </w:rPr>
        <w:t xml:space="preserve">9.1. Scope</w:t>
      </w:r>
    </w:p>
    <w:p>
      <w:pPr>
        <w:spacing w:after="120" w:line="300"/>
      </w:pPr>
      <w:r>
        <w:rPr>
          <w:sz w:val="21"/>
          <w:szCs w:val="21"/>
        </w:rPr>
        <w:t xml:space="preserve">This MOU and its accompanying Commercial Proposal (for context only) form the complete understanding for this barter partnership. Changes require written agreement by authorised representatives of both parties. A purchase order, sponsorship deck, or invoice from either side does not override this MOU unless RoamWise expressly agrees to a separate written cash arrangement.</w:t>
      </w:r>
    </w:p>
    <w:p>
      <w:pPr>
        <w:spacing w:after="200" w:before="400"/>
      </w:pPr>
      <w:r>
        <w:rPr>
          <w:b/>
          <w:bCs/>
          <w:color w:val="0B1020"/>
          <w:sz w:val="24"/>
          <w:szCs w:val="24"/>
        </w:rPr>
        <w:t xml:space="preserve">Signatures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Mar>
              <w:top w:type="dxa" w:w="200"/>
              <w:left w:type="dxa" w:w="120"/>
              <w:bottom w:type="dxa" w:w="80"/>
              <w:right w:type="dxa" w:w="120"/>
            </w:tcMar>
          </w:tcPr>
          <w:p>
            <w:r>
              <w:rPr>
                <w:b/>
                <w:bCs/>
                <w:color w:val="0B1020"/>
                <w:sz w:val="22"/>
                <w:szCs w:val="22"/>
              </w:rPr>
              <w:t xml:space="preserve">For RoamWise</w:t>
            </w:r>
          </w:p>
        </w:tc>
      </w:tr>
      <w:tr>
        <w:tc>
          <w:tcPr>
            <w:tcW w:type="dxa" w:w="4500"/>
            <w:tcMar>
              <w:top w:type="dxa" w:w="60"/>
              <w:left w:type="dxa" w:w="120"/>
              <w:bottom w:type="dxa" w:w="60"/>
              <w:right w:type="dxa" w:w="120"/>
            </w:tcMar>
          </w:tcPr>
          <w:p>
            <w:r>
              <w:rPr>
                <w:b/>
                <w:bCs/>
                <w:sz w:val="20"/>
                <w:szCs w:val="20"/>
              </w:rPr>
              <w:t xml:space="preserve">Name:  </w:t>
            </w:r>
            <w:r>
              <w:rPr>
                <w:sz w:val="20"/>
                <w:szCs w:val="20"/>
              </w:rPr>
              <w:t xml:space="preserve">Mohit Pandey</w:t>
            </w:r>
          </w:p>
        </w:tc>
      </w:tr>
      <w:tr>
        <w:tc>
          <w:tcPr>
            <w:tcW w:type="dxa" w:w="4500"/>
            <w:tcMar>
              <w:top w:type="dxa" w:w="60"/>
              <w:left w:type="dxa" w:w="120"/>
              <w:bottom w:type="dxa" w:w="60"/>
              <w:right w:type="dxa" w:w="120"/>
            </w:tcMar>
          </w:tcPr>
          <w:p>
            <w:r>
              <w:rPr>
                <w:b/>
                <w:bCs/>
                <w:sz w:val="20"/>
                <w:szCs w:val="20"/>
              </w:rPr>
              <w:t xml:space="preserve">Designation:  </w:t>
            </w:r>
            <w:r>
              <w:rPr>
                <w:sz w:val="20"/>
                <w:szCs w:val="20"/>
              </w:rPr>
              <w:t xml:space="preserve">Founder, RoamWise</w:t>
            </w:r>
          </w:p>
        </w:tc>
      </w:tr>
      <w:tr>
        <w:tc>
          <w:tcPr>
            <w:tcW w:type="dxa" w:w="4500"/>
            <w:tcMar>
              <w:top w:type="dxa" w:w="60"/>
              <w:left w:type="dxa" w:w="120"/>
              <w:bottom w:type="dxa" w:w="60"/>
              <w:right w:type="dxa" w:w="120"/>
            </w:tcMar>
          </w:tcPr>
          <w:p>
            <w:r>
              <w:rPr>
                <w:b/>
                <w:bCs/>
                <w:sz w:val="20"/>
                <w:szCs w:val="20"/>
              </w:rPr>
              <w:t xml:space="preserve">Signature:  </w:t>
            </w:r>
            <w:r>
              <w:rPr>
                <w:sz w:val="20"/>
                <w:szCs w:val="20"/>
              </w:rPr>
              <w:t xml:space="preserve">/s/ Mohit Pandey (electronically signed)</w:t>
            </w:r>
          </w:p>
        </w:tc>
      </w:tr>
      <w:tr>
        <w:tc>
          <w:tcPr>
            <w:tcW w:type="dxa" w:w="4500"/>
            <w:tcMar>
              <w:top w:type="dxa" w:w="60"/>
              <w:left w:type="dxa" w:w="120"/>
              <w:bottom w:type="dxa" w:w="60"/>
              <w:right w:type="dxa" w:w="120"/>
            </w:tcMar>
          </w:tcPr>
          <w:p>
            <w:r>
              <w:rPr>
                <w:b/>
                <w:bCs/>
                <w:sz w:val="20"/>
                <w:szCs w:val="20"/>
              </w:rPr>
              <w:t xml:space="preserve">Date:  </w:t>
            </w:r>
            <w:r>
              <w:rPr>
                <w:sz w:val="20"/>
                <w:szCs w:val="20"/>
              </w:rPr>
              <w:t xml:space="preserve">___________________</w:t>
            </w:r>
          </w:p>
        </w:tc>
      </w:tr>
    </w:tbl>
    <w:p>
      <w:pPr>
        <w:spacing w:before="24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Mar>
              <w:top w:type="dxa" w:w="200"/>
              <w:left w:type="dxa" w:w="120"/>
              <w:bottom w:type="dxa" w:w="80"/>
              <w:right w:type="dxa" w:w="120"/>
            </w:tcMar>
          </w:tcPr>
          <w:p>
            <w:r>
              <w:rPr>
                <w:b/>
                <w:bCs/>
                <w:color w:val="0B1020"/>
                <w:sz w:val="22"/>
                <w:szCs w:val="22"/>
              </w:rPr>
              <w:t xml:space="preserve">For E-Cell NMIMS Mumbai / authorised organising body</w:t>
            </w:r>
          </w:p>
        </w:tc>
      </w:tr>
      <w:tr>
        <w:tc>
          <w:tcPr>
            <w:tcW w:type="dxa" w:w="4500"/>
            <w:tcMar>
              <w:top w:type="dxa" w:w="60"/>
              <w:left w:type="dxa" w:w="120"/>
              <w:bottom w:type="dxa" w:w="60"/>
              <w:right w:type="dxa" w:w="120"/>
            </w:tcMar>
          </w:tcPr>
          <w:p>
            <w:r>
              <w:rPr>
                <w:b/>
                <w:bCs/>
                <w:sz w:val="20"/>
                <w:szCs w:val="20"/>
              </w:rPr>
              <w:t xml:space="preserve">Name:  </w:t>
            </w:r>
            <w:r>
              <w:rPr>
                <w:sz w:val="20"/>
                <w:szCs w:val="20"/>
              </w:rPr>
              <w:t xml:space="preserve">___________________</w:t>
            </w:r>
          </w:p>
        </w:tc>
      </w:tr>
      <w:tr>
        <w:tc>
          <w:tcPr>
            <w:tcW w:type="dxa" w:w="4500"/>
            <w:tcMar>
              <w:top w:type="dxa" w:w="60"/>
              <w:left w:type="dxa" w:w="120"/>
              <w:bottom w:type="dxa" w:w="60"/>
              <w:right w:type="dxa" w:w="120"/>
            </w:tcMar>
          </w:tcPr>
          <w:p>
            <w:r>
              <w:rPr>
                <w:b/>
                <w:bCs/>
                <w:sz w:val="20"/>
                <w:szCs w:val="20"/>
              </w:rPr>
              <w:t xml:space="preserve">Designation:  </w:t>
            </w:r>
            <w:r>
              <w:rPr>
                <w:sz w:val="20"/>
                <w:szCs w:val="20"/>
              </w:rPr>
              <w:t xml:space="preserve">___________________</w:t>
            </w:r>
          </w:p>
        </w:tc>
      </w:tr>
      <w:tr>
        <w:tc>
          <w:tcPr>
            <w:tcW w:type="dxa" w:w="4500"/>
            <w:tcMar>
              <w:top w:type="dxa" w:w="60"/>
              <w:left w:type="dxa" w:w="120"/>
              <w:bottom w:type="dxa" w:w="60"/>
              <w:right w:type="dxa" w:w="120"/>
            </w:tcMar>
          </w:tcPr>
          <w:p>
            <w:r>
              <w:rPr>
                <w:b/>
                <w:bCs/>
                <w:sz w:val="20"/>
                <w:szCs w:val="20"/>
              </w:rPr>
              <w:t xml:space="preserve">Signature:  </w:t>
            </w:r>
            <w:r>
              <w:rPr>
                <w:sz w:val="20"/>
                <w:szCs w:val="20"/>
              </w:rPr>
              <w:t xml:space="preserve">___________________</w:t>
            </w:r>
          </w:p>
        </w:tc>
      </w:tr>
      <w:tr>
        <w:tc>
          <w:tcPr>
            <w:tcW w:type="dxa" w:w="4500"/>
            <w:tcMar>
              <w:top w:type="dxa" w:w="60"/>
              <w:left w:type="dxa" w:w="120"/>
              <w:bottom w:type="dxa" w:w="60"/>
              <w:right w:type="dxa" w:w="120"/>
            </w:tcMar>
          </w:tcPr>
          <w:p>
            <w:r>
              <w:rPr>
                <w:b/>
                <w:bCs/>
                <w:sz w:val="20"/>
                <w:szCs w:val="20"/>
              </w:rPr>
              <w:t xml:space="preserve">Date:  </w:t>
            </w:r>
            <w:r>
              <w:rPr>
                <w:sz w:val="20"/>
                <w:szCs w:val="20"/>
              </w:rPr>
              <w:t xml:space="preserve">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2026-08-27T04:32:15.386Z</dcterms:created>
  <dcterms:modified xsi:type="dcterms:W3CDTF">2026-08-27T04:32:15.386Z</dcterms:modified>
</cp:coreProperties>
</file>

<file path=docProps/custom.xml><?xml version="1.0" encoding="utf-8"?>
<Properties xmlns="http://schemas.openxmlformats.org/officeDocument/2006/custom-properties" xmlns:vt="http://schemas.openxmlformats.org/officeDocument/2006/docPropsVTypes"/>
</file>