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2"/>
          <w:szCs w:val="32"/>
          <w:lang w:val="zh-TW" w:eastAsia="zh-TW"/>
        </w:rPr>
      </w:pPr>
      <w:r>
        <w:rPr>
          <w:rFonts w:ascii="黑体" w:hAnsi="黑体" w:eastAsia="黑体" w:cs="黑体"/>
          <w:sz w:val="32"/>
          <w:szCs w:val="32"/>
          <w:rtl w:val="0"/>
          <w:lang w:val="zh-TW" w:eastAsia="zh-TW"/>
        </w:rPr>
        <w:t>风险辨识评估表及隐患排查清单</w:t>
      </w:r>
    </w:p>
    <w:p>
      <w:pPr>
        <w:spacing w:line="276" w:lineRule="auto"/>
        <w:jc w:val="left"/>
        <w:outlineLvl w:val="0"/>
        <w:rPr>
          <w:rFonts w:ascii="仿宋" w:hAnsi="仿宋" w:eastAsia="仿宋" w:cs="仿宋"/>
          <w:b/>
          <w:bCs/>
          <w:kern w:val="44"/>
          <w:sz w:val="21"/>
          <w:szCs w:val="21"/>
          <w:lang w:val="zh-TW" w:eastAsia="zh-TW"/>
        </w:rPr>
      </w:pPr>
      <w:r>
        <w:rPr>
          <w:rFonts w:ascii="黑体" w:hAnsi="黑体" w:eastAsia="黑体" w:cs="黑体"/>
          <w:sz w:val="32"/>
          <w:szCs w:val="32"/>
          <w:lang w:val="zh-TW" w:eastAsia="zh-TW"/>
        </w:rPr>
        <w:tab/>
      </w:r>
      <w:r>
        <w:rPr>
          <w:rFonts w:ascii="仿宋" w:hAnsi="仿宋" w:eastAsia="仿宋" w:cs="仿宋"/>
          <w:b/>
          <w:bCs/>
          <w:kern w:val="44"/>
          <w:sz w:val="21"/>
          <w:szCs w:val="21"/>
          <w:rtl w:val="0"/>
          <w:lang w:val="zh-TW" w:eastAsia="zh-TW"/>
        </w:rPr>
        <w:t>风险点名称：空分区</w:t>
      </w:r>
    </w:p>
    <w:tbl>
      <w:tblPr>
        <w:tblStyle w:val="5"/>
        <w:tblW w:w="22623" w:type="dxa"/>
        <w:jc w:val="center"/>
        <w:tblInd w:w="64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679"/>
        <w:gridCol w:w="567"/>
        <w:gridCol w:w="680"/>
        <w:gridCol w:w="1135"/>
        <w:gridCol w:w="5669"/>
        <w:gridCol w:w="567"/>
        <w:gridCol w:w="850"/>
        <w:gridCol w:w="850"/>
        <w:gridCol w:w="850"/>
        <w:gridCol w:w="850"/>
        <w:gridCol w:w="852"/>
        <w:gridCol w:w="283"/>
        <w:gridCol w:w="284"/>
        <w:gridCol w:w="284"/>
        <w:gridCol w:w="567"/>
        <w:gridCol w:w="567"/>
        <w:gridCol w:w="2835"/>
        <w:gridCol w:w="283"/>
        <w:gridCol w:w="284"/>
        <w:gridCol w:w="283"/>
        <w:gridCol w:w="567"/>
        <w:gridCol w:w="567"/>
        <w:gridCol w:w="567"/>
        <w:gridCol w:w="568"/>
        <w:gridCol w:w="56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</w:tblPrEx>
        <w:trPr>
          <w:trHeight w:val="320" w:hRule="atLeast"/>
          <w:jc w:val="center"/>
        </w:trPr>
        <w:tc>
          <w:tcPr>
            <w:tcW w:w="362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18"/>
                <w:szCs w:val="18"/>
                <w:rtl w:val="0"/>
                <w:lang w:val="zh-TW" w:eastAsia="zh-TW"/>
              </w:rPr>
              <w:t>风险点划分</w:t>
            </w:r>
            <w:r>
              <w:rPr>
                <w:rFonts w:ascii="黑体" w:hAnsi="黑体" w:eastAsia="黑体" w:cs="黑体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黑体" w:hAnsi="黑体" w:eastAsia="黑体" w:cs="黑体"/>
                <w:sz w:val="18"/>
                <w:szCs w:val="18"/>
                <w:rtl w:val="0"/>
                <w:lang w:val="zh-TW" w:eastAsia="zh-TW"/>
              </w:rPr>
              <w:t>风险点编码：5)</w:t>
            </w:r>
          </w:p>
        </w:tc>
        <w:tc>
          <w:tcPr>
            <w:tcW w:w="104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18"/>
                <w:szCs w:val="18"/>
                <w:rtl w:val="0"/>
                <w:lang w:val="zh-TW" w:eastAsia="zh-TW"/>
              </w:rPr>
              <w:t>安全检查辨识表（SCL）</w:t>
            </w:r>
          </w:p>
        </w:tc>
        <w:tc>
          <w:tcPr>
            <w:tcW w:w="48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firstLine="360"/>
              <w:jc w:val="center"/>
            </w:pPr>
            <w:r>
              <w:rPr>
                <w:rFonts w:ascii="黑体" w:hAnsi="黑体" w:eastAsia="黑体" w:cs="黑体"/>
                <w:sz w:val="18"/>
                <w:szCs w:val="18"/>
                <w:rtl w:val="0"/>
                <w:lang w:val="zh-TW" w:eastAsia="zh-TW"/>
              </w:rPr>
              <w:t>风险矩阵评估表(LS)</w:t>
            </w:r>
          </w:p>
        </w:tc>
        <w:tc>
          <w:tcPr>
            <w:tcW w:w="368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firstLine="360"/>
              <w:jc w:val="center"/>
            </w:pPr>
            <w:r>
              <w:rPr>
                <w:rFonts w:ascii="黑体" w:hAnsi="黑体" w:eastAsia="黑体" w:cs="黑体"/>
                <w:sz w:val="18"/>
                <w:szCs w:val="18"/>
                <w:rtl w:val="0"/>
                <w:lang w:val="zh-TW" w:eastAsia="zh-TW"/>
              </w:rPr>
              <w:t>风险管控要求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412" w:hRule="atLeast"/>
          <w:jc w:val="center"/>
        </w:trPr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二级编码</w:t>
            </w:r>
          </w:p>
        </w:tc>
        <w:tc>
          <w:tcPr>
            <w:tcW w:w="67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二级子项</w:t>
            </w:r>
          </w:p>
        </w:tc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三级编码</w:t>
            </w:r>
          </w:p>
        </w:tc>
        <w:tc>
          <w:tcPr>
            <w:tcW w:w="6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三级子项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风险描述</w:t>
            </w:r>
          </w:p>
        </w:tc>
        <w:tc>
          <w:tcPr>
            <w:tcW w:w="566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辨识评价标准（绿色标注为重大风险判定项，紫色标注为重大隐患判定项）</w:t>
            </w:r>
          </w:p>
        </w:tc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导致后果</w:t>
            </w:r>
          </w:p>
        </w:tc>
        <w:tc>
          <w:tcPr>
            <w:tcW w:w="425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现有管控措施</w:t>
            </w: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(灰色标注为未达标项)</w:t>
            </w:r>
          </w:p>
        </w:tc>
        <w:tc>
          <w:tcPr>
            <w:tcW w:w="14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风险评估分级</w:t>
            </w:r>
          </w:p>
        </w:tc>
        <w:tc>
          <w:tcPr>
            <w:tcW w:w="567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隐患判定级别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firstLine="260"/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新增风险管控措施或纳入隐患治理及治理期间的降低风险措施</w:t>
            </w: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管控手段</w:t>
            </w:r>
          </w:p>
        </w:tc>
        <w:tc>
          <w:tcPr>
            <w:tcW w:w="28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管控级别</w:t>
            </w: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管控专业</w:t>
            </w:r>
          </w:p>
        </w:tc>
        <w:tc>
          <w:tcPr>
            <w:tcW w:w="113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管控周期</w:t>
            </w:r>
          </w:p>
        </w:tc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周期影响因子</w:t>
            </w:r>
          </w:p>
        </w:tc>
        <w:tc>
          <w:tcPr>
            <w:tcW w:w="5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导出标记</w:t>
            </w:r>
          </w:p>
        </w:tc>
        <w:tc>
          <w:tcPr>
            <w:tcW w:w="5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</w:tblPrEx>
        <w:trPr>
          <w:trHeight w:val="412" w:hRule="atLeast"/>
          <w:jc w:val="center"/>
        </w:trPr>
        <w:tc>
          <w:tcPr>
            <w:tcW w:w="5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67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5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6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1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566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5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  <w:t>工程技术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  <w:t>管理措施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  <w:t>培训教育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  <w:t>个体防护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  <w:t>应急处理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  <w:t>L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  <w:t>S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  <w:t>R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  <w:rtl w:val="0"/>
                <w:lang w:val="en-US" w:eastAsia="zh-CN"/>
              </w:rPr>
              <w:t>风险级别</w:t>
            </w: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</w:pPr>
          </w:p>
        </w:tc>
        <w:tc>
          <w:tcPr>
            <w:tcW w:w="2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</w:pPr>
          </w:p>
        </w:tc>
        <w:tc>
          <w:tcPr>
            <w:tcW w:w="28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</w:pPr>
          </w:p>
        </w:tc>
        <w:tc>
          <w:tcPr>
            <w:tcW w:w="2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</w:pPr>
          </w:p>
        </w:tc>
        <w:tc>
          <w:tcPr>
            <w:tcW w:w="1134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</w:pPr>
          </w:p>
        </w:tc>
        <w:tc>
          <w:tcPr>
            <w:tcW w:w="56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</w:pPr>
          </w:p>
        </w:tc>
        <w:tc>
          <w:tcPr>
            <w:tcW w:w="5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</w:pPr>
          </w:p>
        </w:tc>
        <w:tc>
          <w:tcPr>
            <w:tcW w:w="5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</w:tblPrEx>
        <w:trPr>
          <w:trHeight w:val="1470" w:hRule="atLeast"/>
          <w:jc w:val="center"/>
        </w:trPr>
        <w:tc>
          <w:tcPr>
            <w:tcW w:w="5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5.1</w:t>
            </w:r>
          </w:p>
        </w:tc>
        <w:tc>
          <w:tcPr>
            <w:tcW w:w="67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空分站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厂房外构筑物的防火间距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5.1.1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隐患排查项</w:t>
            </w:r>
          </w:p>
        </w:tc>
        <w:tc>
          <w:tcPr>
            <w:tcW w:w="5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firstLine="260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GB50016-表3.4.1厂房之间及与乙、丙、丁、戊类仓库、民用建筑的防火间距（m）详见附表1。表1主要生产场所建筑物内“火灾危险性”分类（详见附表11）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火灾爆炸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按照规范要求设计建设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/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已对员工进行培训教育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/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/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4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低风险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无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firstLine="260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排查标准栏参照辨识评价标准栏</w:t>
            </w: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台账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公司</w:t>
            </w: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综合岗位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1次/年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1次/年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\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\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</w:tblPrEx>
        <w:trPr>
          <w:trHeight w:val="1470" w:hRule="atLeast"/>
          <w:jc w:val="center"/>
        </w:trPr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5.1</w:t>
            </w:r>
          </w:p>
        </w:tc>
        <w:tc>
          <w:tcPr>
            <w:tcW w:w="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空分站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安全出口设置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5.1.6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隐患排查项</w:t>
            </w:r>
          </w:p>
        </w:tc>
        <w:tc>
          <w:tcPr>
            <w:tcW w:w="5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firstLine="260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GB50016-3.7.2厂房内每个防火分区或一个防火分区内的每个楼层，其安全出口的数量应经计算确定，且不应少于2个；当符合下列条件时，可设置1个安全出口：3丙类厂房，每层建筑面积不大于250m2，且同一时间的作业人数不超过20人；GB12710-5.3.5 安全出入口（疏散门）不应采用侧拉门（库房除外），严禁采用转门。GB12710-5.3.6 厂房、梯子的出入口和人行道，不宜正对车辆、设备运行频繁的地点，否则应设防护装置或悬挂醒目的警告标志。GB12710-5.3.7 生产区域必须设安全通道，安全通道净宽不应小于1m，仅通向一个操作点或设备的不应小于0.8m，局部特殊情况不应小于0.6m。GB50016-3.7.4厂房内任一点至最近安全出口的直线距离不应大于表3.7.4的规定。表3.7.4厂房内任一点至最近安全出口的直线距离（m）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火灾爆炸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按照规范要求设计建设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/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已对员工进行培训教育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/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/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4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低风险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无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firstLine="260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排查标准栏参照辨识评价标准栏</w:t>
            </w: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台账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公司</w:t>
            </w: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综合岗位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1次/年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1次/年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\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\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</w:tblPrEx>
        <w:trPr>
          <w:trHeight w:val="1470" w:hRule="atLeast"/>
          <w:jc w:val="center"/>
        </w:trPr>
        <w:tc>
          <w:tcPr>
            <w:tcW w:w="5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5.1</w:t>
            </w:r>
          </w:p>
        </w:tc>
        <w:tc>
          <w:tcPr>
            <w:tcW w:w="67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空分站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出入口和人行道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5.1.23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悬挂标志可能损坏或脱落</w:t>
            </w:r>
          </w:p>
        </w:tc>
        <w:tc>
          <w:tcPr>
            <w:tcW w:w="5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firstLine="260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GB12710-5.3.6 厂房、梯子的出入口和人行道，不宜正对车辆、设备运行频繁的地点，否则应设防护装置或悬挂醒目的 警告标志。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火灾爆炸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满足相应标准规范要求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已制定相应管理制度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已对员工进行教育培训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/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/</w:t>
            </w:r>
          </w:p>
        </w:tc>
        <w:tc>
          <w:tcPr>
            <w:tcW w:w="28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3</w:t>
            </w:r>
          </w:p>
        </w:tc>
        <w:tc>
          <w:tcPr>
            <w:tcW w:w="2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低风险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无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firstLine="260"/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定期巡查人行通道，确保正对车辆的通道口警告标志无损坏。</w:t>
            </w: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拍照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班组</w:t>
            </w: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zh-TW" w:eastAsia="zh-TW"/>
              </w:rPr>
              <w:t>空分岗位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4次/年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4次/年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\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13"/>
                <w:szCs w:val="13"/>
              </w:rPr>
            </w:pPr>
            <w:r>
              <w:rPr>
                <w:rFonts w:ascii="仿宋" w:hAnsi="仿宋" w:eastAsia="仿宋" w:cs="仿宋"/>
                <w:sz w:val="13"/>
                <w:szCs w:val="13"/>
                <w:rtl w:val="0"/>
                <w:lang w:val="en-US"/>
              </w:rPr>
              <w:t>空分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</w:p>
        </w:tc>
      </w:tr>
    </w:tbl>
    <w:p>
      <w:pPr>
        <w:ind w:left="540" w:hanging="540"/>
        <w:jc w:val="center"/>
        <w:outlineLvl w:val="0"/>
      </w:pPr>
      <w:bookmarkStart w:id="0" w:name="_GoBack"/>
      <w:bookmarkEnd w:id="0"/>
    </w:p>
    <w:sectPr>
      <w:headerReference r:id="rId3" w:type="default"/>
      <w:footerReference r:id="rId4" w:type="default"/>
      <w:pgSz w:w="23820" w:h="16840" w:orient="landscape"/>
      <w:pgMar w:top="851" w:right="567" w:bottom="567" w:left="567" w:header="851" w:footer="284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A69"/>
    <w:rsid w:val="000D2C80"/>
    <w:rsid w:val="00170D29"/>
    <w:rsid w:val="002D395E"/>
    <w:rsid w:val="005D47B9"/>
    <w:rsid w:val="007819FC"/>
    <w:rsid w:val="009D1A69"/>
    <w:rsid w:val="00D53ED1"/>
    <w:rsid w:val="00DC57A2"/>
    <w:rsid w:val="00DF338C"/>
    <w:rsid w:val="00FF7F1A"/>
    <w:rsid w:val="5FFBA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2018-01-08T16:12:00Z</dcterms:created>
  <dc:creator>Administrator</dc:creator>
  <cp:lastModifiedBy>gongqiheng</cp:lastModifiedBy>
  <dcterms:modified xsi:type="dcterms:W3CDTF">2019-04-30T09:46:04Z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