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4A29E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right"/>
        <w:rPr>
          <w:rFonts w:hint="default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编号： 2026-上海</w:t>
      </w:r>
      <w:r>
        <w:rPr>
          <w:rFonts w:hint="eastAsia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  <w:t>21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-0</w:t>
      </w:r>
      <w:r>
        <w:rPr>
          <w:rFonts w:hint="eastAsia" w:ascii="Open Sans" w:hAnsi="Open Sans" w:eastAsia="宋体" w:cs="Open Sans"/>
          <w:i w:val="0"/>
          <w:iCs w:val="0"/>
          <w:caps w:val="0"/>
          <w:color w:val="24292E"/>
          <w:spacing w:val="0"/>
          <w:sz w:val="21"/>
          <w:szCs w:val="21"/>
          <w:lang w:val="en-US" w:eastAsia="zh-CN"/>
        </w:rPr>
        <w:t>66</w:t>
      </w:r>
    </w:p>
    <w:p w14:paraId="7A4D7101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center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44"/>
          <w:szCs w:val="4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44"/>
          <w:szCs w:val="44"/>
        </w:rPr>
        <w:t>旭吾亿元资产推荐上海项目(0</w:t>
      </w:r>
      <w:r>
        <w:rPr>
          <w:rFonts w:hint="eastAsia" w:ascii="Open Sans" w:hAnsi="Open Sans" w:eastAsia="宋体" w:cs="Open Sans"/>
          <w:i w:val="0"/>
          <w:iCs w:val="0"/>
          <w:caps w:val="0"/>
          <w:color w:val="24292E"/>
          <w:spacing w:val="0"/>
          <w:sz w:val="44"/>
          <w:szCs w:val="44"/>
          <w:lang w:val="en-US" w:eastAsia="zh-CN"/>
        </w:rPr>
        <w:t>66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44"/>
          <w:szCs w:val="44"/>
        </w:rPr>
        <w:t>)</w:t>
      </w:r>
    </w:p>
    <w:p w14:paraId="2AE4794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center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44"/>
          <w:szCs w:val="44"/>
        </w:rPr>
        <w:t>上海松江泗泾核心区3万平米稀缺产业/商业综合体</w:t>
      </w:r>
    </w:p>
    <w:p w14:paraId="71B48479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一、资产介绍</w:t>
      </w:r>
    </w:p>
    <w:p w14:paraId="4E5FF959">
      <w:pPr>
        <w:bidi w:val="0"/>
        <w:rPr>
          <w:rFonts w:hint="default"/>
        </w:rPr>
      </w:pPr>
      <w:r>
        <w:rPr>
          <w:rFonts w:hint="default"/>
        </w:rPr>
        <w:t>地址 ：上海市松江区泗博路178号；</w:t>
      </w:r>
    </w:p>
    <w:p w14:paraId="49A5EB9A">
      <w:pPr>
        <w:bidi w:val="0"/>
        <w:rPr>
          <w:rFonts w:hint="default"/>
        </w:rPr>
      </w:pPr>
      <w:r>
        <w:rPr>
          <w:rFonts w:hint="default"/>
        </w:rPr>
        <w:t>面积 ：</w:t>
      </w:r>
    </w:p>
    <w:p w14:paraId="1DA2C909">
      <w:pPr>
        <w:bidi w:val="0"/>
        <w:rPr>
          <w:rFonts w:hint="default"/>
        </w:rPr>
      </w:pPr>
      <w:r>
        <w:rPr>
          <w:rFonts w:hint="default"/>
        </w:rPr>
        <w:t>土地面积：[待补充] m²，[待补充] 本产证（土地性质：工业/商业用地）；</w:t>
      </w:r>
    </w:p>
    <w:p w14:paraId="186E64BD">
      <w:pPr>
        <w:bidi w:val="0"/>
        <w:rPr>
          <w:rFonts w:hint="default"/>
        </w:rPr>
      </w:pPr>
      <w:r>
        <w:rPr>
          <w:rFonts w:hint="default"/>
        </w:rPr>
        <w:t>建筑面积：30500 m²，[待补充] 本产证（结构/层数：标准框架结构）；</w:t>
      </w:r>
    </w:p>
    <w:p w14:paraId="25CFE6B0">
      <w:pPr>
        <w:bidi w:val="0"/>
        <w:rPr>
          <w:rFonts w:hint="default"/>
        </w:rPr>
      </w:pPr>
      <w:r>
        <w:rPr>
          <w:rFonts w:hint="default"/>
        </w:rPr>
        <w:t>资产性质 ：工业厂房 / 研发办公 / 商业综合；</w:t>
      </w:r>
    </w:p>
    <w:p w14:paraId="3BB56CC5">
      <w:pPr>
        <w:bidi w:val="0"/>
        <w:rPr>
          <w:rFonts w:hint="default"/>
        </w:rPr>
      </w:pPr>
      <w:r>
        <w:rPr>
          <w:rFonts w:hint="default"/>
        </w:rPr>
        <w:t>价格/评估 ：</w:t>
      </w:r>
    </w:p>
    <w:p w14:paraId="103C62DA">
      <w:pPr>
        <w:bidi w:val="0"/>
        <w:rPr>
          <w:rFonts w:hint="default"/>
        </w:rPr>
      </w:pPr>
      <w:r>
        <w:rPr>
          <w:rFonts w:hint="default"/>
        </w:rPr>
        <w:t>评估总价：18000 万；</w:t>
      </w:r>
      <w:r>
        <w:rPr>
          <w:rFonts w:hint="eastAsia"/>
          <w:lang w:val="en-US" w:eastAsia="zh-CN"/>
        </w:rPr>
        <w:t>报价：9000 万</w:t>
      </w:r>
      <w:r>
        <w:rPr>
          <w:rFonts w:hint="default"/>
        </w:rPr>
        <w:t>；</w:t>
      </w:r>
    </w:p>
    <w:p w14:paraId="2848E1BD">
      <w:pPr>
        <w:bidi w:val="0"/>
        <w:rPr>
          <w:rFonts w:hint="default"/>
        </w:rPr>
      </w:pPr>
      <w:r>
        <w:rPr>
          <w:rFonts w:hint="default"/>
        </w:rPr>
        <w:t>单价测算：2951 元/m²（计算公式：9000万÷30500m²）；</w:t>
      </w:r>
    </w:p>
    <w:p w14:paraId="5D9634B5">
      <w:pPr>
        <w:bidi w:val="0"/>
        <w:rPr>
          <w:rFonts w:hint="default"/>
        </w:rPr>
      </w:pPr>
      <w:r>
        <w:rPr>
          <w:rFonts w:hint="default"/>
        </w:rPr>
        <w:t>项目亮点 ：</w:t>
      </w:r>
    </w:p>
    <w:p w14:paraId="0C52F9F1">
      <w:pPr>
        <w:bidi w:val="0"/>
        <w:rPr>
          <w:rFonts w:hint="default"/>
        </w:rPr>
      </w:pPr>
      <w:r>
        <w:rPr>
          <w:rFonts w:hint="default"/>
        </w:rPr>
        <w:t>价格洼地：单价不足3000元，仅为原评估价的5折，具备极高安全边际；</w:t>
      </w:r>
    </w:p>
    <w:p w14:paraId="51AC934C">
      <w:pPr>
        <w:bidi w:val="0"/>
        <w:rPr>
          <w:rFonts w:hint="default"/>
        </w:rPr>
      </w:pPr>
      <w:r>
        <w:rPr>
          <w:rFonts w:hint="default"/>
        </w:rPr>
        <w:t>杠杆支撑：银行可贷1.2亿元，远超收购总价，实现“负成本”收购或高额流动性溢出；</w:t>
      </w:r>
    </w:p>
    <w:p w14:paraId="1A935845">
      <w:pPr>
        <w:bidi w:val="0"/>
        <w:rPr>
          <w:rFonts w:hint="default"/>
        </w:rPr>
      </w:pPr>
      <w:r>
        <w:rPr>
          <w:rFonts w:hint="default"/>
        </w:rPr>
        <w:t>区域核心：位于松江泗泾核心板块，紧邻G60科创走廊，产业集聚效应强；</w:t>
      </w:r>
    </w:p>
    <w:p w14:paraId="2A3FE136">
      <w:pPr>
        <w:bidi w:val="0"/>
        <w:rPr>
          <w:rFonts w:hint="default"/>
        </w:rPr>
      </w:pPr>
      <w:r>
        <w:rPr>
          <w:rFonts w:hint="default"/>
        </w:rPr>
        <w:t>交易方式 ：产权过户；</w:t>
      </w:r>
    </w:p>
    <w:p w14:paraId="2FDE9CD1">
      <w:pPr>
        <w:bidi w:val="0"/>
        <w:rPr>
          <w:rFonts w:hint="default"/>
        </w:rPr>
      </w:pPr>
      <w:r>
        <w:rPr>
          <w:rFonts w:hint="default"/>
        </w:rPr>
        <w:t>税费缴纳：按照国家标准各自缴纳；</w:t>
      </w:r>
    </w:p>
    <w:p w14:paraId="46EB3A8A">
      <w:pPr>
        <w:bidi w:val="0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Cs w:val="21"/>
        </w:rPr>
      </w:pPr>
      <w:r>
        <w:rPr>
          <w:rFonts w:hint="default"/>
        </w:rPr>
        <w:t>附近拍卖信息：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Cs w:val="21"/>
        </w:rPr>
        <w:br w:type="textWrapping"/>
      </w:r>
    </w:p>
    <w:tbl>
      <w:tblPr>
        <w:tblStyle w:val="14"/>
        <w:tblW w:w="9967" w:type="dxa"/>
        <w:tblInd w:w="0" w:type="dxa"/>
        <w:tblBorders>
          <w:top w:val="single" w:color="C6CBD1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837"/>
      </w:tblGrid>
      <w:tr w14:paraId="2DA12EC0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6D89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64B8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center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详细内容</w:t>
            </w:r>
          </w:p>
        </w:tc>
      </w:tr>
      <w:tr w14:paraId="501A3732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F6D19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拍卖标的名称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ECC1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上海阳治实业有限公司等17户债权资产包项目</w:t>
            </w:r>
          </w:p>
        </w:tc>
      </w:tr>
      <w:tr w14:paraId="0E901C07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B0D6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B00F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分布于上海（嘉定、宝山、虹口、杨浦、闵行、浦东、松江等）及江苏昆山</w:t>
            </w:r>
          </w:p>
        </w:tc>
      </w:tr>
      <w:tr w14:paraId="194FF97D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12FB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建筑面积 (㎡)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337AD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累计约</w:t>
            </w: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6,552.44</w:t>
            </w: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㎡（包含住宅、商铺、办公及车位面积）</w:t>
            </w:r>
          </w:p>
        </w:tc>
      </w:tr>
      <w:tr w14:paraId="15B66ADA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EFD5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房产类型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E886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债权包（底层资产涵盖商业用房、住宅、办公用房、车位）</w:t>
            </w:r>
          </w:p>
        </w:tc>
      </w:tr>
      <w:tr w14:paraId="6258F79F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A70FC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评估价 (万元)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44147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页面未直接显示总评估价（债权总额约为 51,719 万元）</w:t>
            </w:r>
          </w:p>
        </w:tc>
      </w:tr>
      <w:tr w14:paraId="2ED75E7F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1D589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起拍价 (万元)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E95C2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4,888.00</w:t>
            </w:r>
          </w:p>
        </w:tc>
      </w:tr>
      <w:tr w14:paraId="4FF1FC11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B2F6D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成交价 (万元)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A94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4,889.00</w:t>
            </w:r>
          </w:p>
        </w:tc>
      </w:tr>
      <w:tr w14:paraId="6D21F0B0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767E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成交单价 (元/㎡)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DB96D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约​</w:t>
            </w: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7,461.34</w:t>
            </w:r>
            <w:r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​（按成交价/抵押物总面积估算，仅供参考）</w:t>
            </w:r>
          </w:p>
        </w:tc>
      </w:tr>
      <w:tr w14:paraId="51A17093">
        <w:tblPrEx>
          <w:tblBorders>
            <w:top w:val="single" w:color="C6CBD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F8C11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溢价率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BB07A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sz w:val="21"/>
                <w:szCs w:val="21"/>
              </w:rPr>
            </w:pPr>
            <w:r>
              <w:rPr>
                <w:rStyle w:val="17"/>
                <w:rFonts w:hint="default" w:ascii="Open Sans" w:hAnsi="Open Sans" w:eastAsia="Open Sans" w:cs="Open Sans"/>
                <w:i w:val="0"/>
                <w:iCs w:val="0"/>
                <w:caps w:val="0"/>
                <w:color w:val="24292E"/>
                <w:spacing w:val="0"/>
                <w:kern w:val="0"/>
                <w:sz w:val="21"/>
                <w:szCs w:val="21"/>
                <w:lang w:val="en-US" w:eastAsia="zh-CN" w:bidi="ar"/>
              </w:rPr>
              <w:t>0.02%</w:t>
            </w:r>
          </w:p>
        </w:tc>
      </w:tr>
    </w:tbl>
    <w:p w14:paraId="43B14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CEF"/>
        <w:spacing w:before="360" w:beforeAutospacing="0" w:after="360" w:afterAutospacing="0"/>
        <w:ind w:left="0" w:right="0" w:firstLine="0"/>
        <w:jc w:val="left"/>
        <w:rPr>
          <w:rFonts w:hint="eastAsia" w:ascii="Open Sans" w:hAnsi="Open Sans" w:eastAsia="宋体" w:cs="Open Sans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21"/>
          <w:szCs w:val="21"/>
          <w:lang w:val="en-US" w:eastAsia="zh-CN"/>
        </w:rPr>
        <w:t>1.​面积计算详情​：该面积为抵押物列表中所有房产、办公及车位的建筑面积加总。</w:t>
      </w:r>
    </w:p>
    <w:p w14:paraId="11797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CEF"/>
        <w:spacing w:before="360" w:beforeAutospacing="0" w:after="360" w:afterAutospacing="0"/>
        <w:ind w:left="0" w:right="0" w:firstLine="0"/>
        <w:jc w:val="left"/>
        <w:rPr>
          <w:rFonts w:hint="eastAsia" w:ascii="Open Sans" w:hAnsi="Open Sans" w:eastAsia="宋体" w:cs="Open Sans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21"/>
          <w:szCs w:val="21"/>
          <w:lang w:val="en-US" w:eastAsia="zh-CN"/>
        </w:rPr>
        <w:t>2.​债权性质​：此标的并非直接拍卖房产，而是​债权转让​。成交价买下的是对上海阳治实业等17家公司的债权（包括本金约 1.57 亿元及其利息），房产仅作为抵押物。</w:t>
      </w:r>
    </w:p>
    <w:p w14:paraId="017F7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AECEF"/>
        <w:spacing w:before="360" w:beforeAutospacing="0" w:after="36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spacing w:val="0"/>
          <w:sz w:val="21"/>
          <w:szCs w:val="21"/>
          <w:lang w:val="en-US" w:eastAsia="zh-CN"/>
        </w:rPr>
        <w:t>3.​溢价：本次竞价记录显示仅有两次出价，最终溢价 1 万元。</w:t>
      </w:r>
    </w:p>
    <w:p w14:paraId="73FEBB5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</w:p>
    <w:p w14:paraId="6225921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二、九大维度价值深度解析</w:t>
      </w:r>
    </w:p>
    <w:p w14:paraId="16E56030">
      <w:pPr>
        <w:numPr>
          <w:ilvl w:val="0"/>
          <w:numId w:val="1"/>
        </w:numPr>
        <w:bidi w:val="0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地理位置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战略坐标 ：位于大虹桥辐射区与G60科创走廊的交汇点，松江东北部的门户重镇；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区域优势 ：泗泾镇作为上海市郊重点建设的居住与产业融合区，承接了大量市区外溢的资源与人口；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drawing>
          <wp:inline distT="0" distB="0" distL="114300" distR="114300">
            <wp:extent cx="8857615" cy="5336540"/>
            <wp:effectExtent l="0" t="0" r="635" b="165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7615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9BE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发展情况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政策红利 ：受“长三角一体化”及“松江新城”双重规划利好，土地增值潜力巨大；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商业/产业氛围 ：周边分布有多个高新产业园及成熟社区，商业氛围浓厚，产城融合度高；</w:t>
      </w:r>
    </w:p>
    <w:p w14:paraId="1EB791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周边人口 / 劳动力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人口规模 ：周边5公里范围内常住人口密度极高，泗泾地铁站日均客流位居上海郊区前列；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人群特征 ：以科创产业人才、年轻白领及周边高素质产业工人为主；</w:t>
      </w:r>
    </w:p>
    <w:p w14:paraId="3F5DEB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建筑与土地情况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硬件参数 ：标准工业/办公建筑设计，柱距合理，承重达标，外立面稳重；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现状与潜力 ：具备改造为“科创孵化器”或“社区商业中心”的巨大潜力，空间利用率高；</w:t>
      </w:r>
    </w:p>
    <w:p w14:paraId="3FDC97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区域经济与GDP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经济数据 ：松江区GDP位列上海郊区前茅，制造业产值与进出口总额持续走高；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产业地位 ：国家级G60科创走廊策源地，高端制造与先进服务业高地；</w:t>
      </w:r>
    </w:p>
    <w:p w14:paraId="52A9CB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房价 / 地价 / 租金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周边行情 ：周边同类工业/研发房产均价约 6000-8000 元/m²；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成本优势 ：本项目单价 2951 元/m²，仅为市场价的 40%左右，具有极强的抗风险能力；</w:t>
      </w:r>
    </w:p>
    <w:p w14:paraId="5A67F4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消费水平 / 适配行业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适配行业 ：智能制造、电子信息、企业总部、冷链物流或区域仓储中心；</w:t>
      </w:r>
    </w:p>
    <w:p w14:paraId="20A6EC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基础设施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市政配套 ：水、电、气、排污设施完善，满足重工业或研发试验需求；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生活配套 ：周边拥有泗泾医院、祥和广场、三湘商业广场及多所重点中小学；</w:t>
      </w:r>
    </w:p>
    <w:p w14:paraId="3E5E15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交通设施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轨道/航空 ：距离地铁9号线泗泾站仅约1.5公里，半小时可达徐家汇，40分钟直达虹桥机场；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路网交通 ：紧邻嘉松中路、沪渝高速（G50）及沈海高速（G15），交通网络贯穿全市；</w:t>
      </w:r>
    </w:p>
    <w:p w14:paraId="72D7FC2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三、投资总结</w:t>
      </w:r>
    </w:p>
    <w:tbl>
      <w:tblPr>
        <w:tblStyle w:val="14"/>
        <w:tblW w:w="1342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4"/>
        <w:gridCol w:w="8987"/>
      </w:tblGrid>
      <w:tr w14:paraId="53843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CB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8"/>
                <w:sz w:val="24"/>
                <w:szCs w:val="24"/>
                <w:lang w:val="en-US" w:eastAsia="zh-CN" w:bidi="ar"/>
              </w:rPr>
              <w:t>总建筑面积</w:t>
            </w:r>
            <w:r>
              <w:rPr>
                <w:rStyle w:val="19"/>
                <w:sz w:val="24"/>
                <w:szCs w:val="24"/>
                <w:lang w:val="en-US" w:eastAsia="zh-CN" w:bidi="ar"/>
              </w:rPr>
              <w:t>（平方米）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C90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30500</w:t>
            </w:r>
          </w:p>
        </w:tc>
      </w:tr>
      <w:tr w14:paraId="36DDD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AE6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7030A0"/>
                <w:sz w:val="24"/>
                <w:szCs w:val="24"/>
                <w:u w:val="none"/>
              </w:rPr>
            </w:pPr>
            <w:r>
              <w:rPr>
                <w:rStyle w:val="20"/>
                <w:sz w:val="24"/>
                <w:szCs w:val="24"/>
                <w:lang w:val="en-US" w:eastAsia="zh-CN" w:bidi="ar"/>
              </w:rPr>
              <w:t>评估总价</w:t>
            </w:r>
            <w:r>
              <w:rPr>
                <w:rStyle w:val="21"/>
                <w:sz w:val="24"/>
                <w:szCs w:val="24"/>
                <w:lang w:val="en-US" w:eastAsia="zh-CN" w:bidi="ar"/>
              </w:rPr>
              <w:t>（元）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976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kern w:val="0"/>
                <w:sz w:val="24"/>
                <w:szCs w:val="24"/>
                <w:u w:val="none"/>
                <w:lang w:val="en-US" w:eastAsia="zh-CN" w:bidi="ar"/>
              </w:rPr>
              <w:t>￥180,000,000.00</w:t>
            </w:r>
          </w:p>
        </w:tc>
      </w:tr>
      <w:tr w14:paraId="42152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38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7030A0"/>
                <w:sz w:val="24"/>
                <w:szCs w:val="24"/>
                <w:u w:val="none"/>
              </w:rPr>
            </w:pPr>
            <w:r>
              <w:rPr>
                <w:rStyle w:val="20"/>
                <w:sz w:val="24"/>
                <w:szCs w:val="24"/>
                <w:lang w:val="en-US" w:eastAsia="zh-CN" w:bidi="ar"/>
              </w:rPr>
              <w:t>评估单价</w:t>
            </w:r>
            <w:r>
              <w:rPr>
                <w:rStyle w:val="21"/>
                <w:sz w:val="24"/>
                <w:szCs w:val="24"/>
                <w:lang w:val="en-US" w:eastAsia="zh-CN" w:bidi="ar"/>
              </w:rPr>
              <w:t>（元/平方米）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369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5901.64 </w:t>
            </w:r>
          </w:p>
        </w:tc>
      </w:tr>
      <w:tr w14:paraId="3713F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717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B050"/>
                <w:sz w:val="24"/>
                <w:szCs w:val="24"/>
                <w:u w:val="none"/>
              </w:rPr>
            </w:pPr>
            <w:r>
              <w:rPr>
                <w:rStyle w:val="22"/>
                <w:sz w:val="24"/>
                <w:szCs w:val="24"/>
                <w:lang w:val="en-US" w:eastAsia="zh-CN" w:bidi="ar"/>
              </w:rPr>
              <w:t>成交总价</w:t>
            </w:r>
            <w:r>
              <w:rPr>
                <w:rStyle w:val="23"/>
                <w:sz w:val="24"/>
                <w:szCs w:val="24"/>
                <w:lang w:val="en-US" w:eastAsia="zh-CN" w:bidi="ar"/>
              </w:rPr>
              <w:t>（元）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18019">
            <w:pPr>
              <w:jc w:val="righ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4"/>
                <w:szCs w:val="24"/>
                <w:u w:val="none"/>
              </w:rPr>
            </w:pPr>
          </w:p>
        </w:tc>
      </w:tr>
      <w:tr w14:paraId="0D3BC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378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B050"/>
                <w:sz w:val="24"/>
                <w:szCs w:val="24"/>
                <w:u w:val="none"/>
              </w:rPr>
            </w:pPr>
            <w:r>
              <w:rPr>
                <w:rStyle w:val="22"/>
                <w:sz w:val="24"/>
                <w:szCs w:val="24"/>
                <w:lang w:val="en-US" w:eastAsia="zh-CN" w:bidi="ar"/>
              </w:rPr>
              <w:t>成交单价</w:t>
            </w:r>
            <w:r>
              <w:rPr>
                <w:rStyle w:val="23"/>
                <w:sz w:val="24"/>
                <w:szCs w:val="24"/>
                <w:lang w:val="en-US" w:eastAsia="zh-CN" w:bidi="ar"/>
              </w:rPr>
              <w:t>（元/平方米）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CFB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0.00 </w:t>
            </w:r>
          </w:p>
        </w:tc>
      </w:tr>
      <w:tr w14:paraId="6955B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B7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sz w:val="24"/>
                <w:szCs w:val="24"/>
                <w:u w:val="none"/>
              </w:rPr>
            </w:pPr>
            <w:r>
              <w:rPr>
                <w:rStyle w:val="24"/>
                <w:sz w:val="24"/>
                <w:szCs w:val="24"/>
                <w:lang w:val="en-US" w:eastAsia="zh-CN" w:bidi="ar"/>
              </w:rPr>
              <w:t>实际总报价</w:t>
            </w:r>
            <w:r>
              <w:rPr>
                <w:rStyle w:val="25"/>
                <w:sz w:val="24"/>
                <w:szCs w:val="24"/>
                <w:lang w:val="en-US" w:eastAsia="zh-CN" w:bidi="ar"/>
              </w:rPr>
              <w:t>（元）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59B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kern w:val="0"/>
                <w:sz w:val="24"/>
                <w:szCs w:val="24"/>
                <w:u w:val="none"/>
                <w:lang w:val="en-US" w:eastAsia="zh-CN" w:bidi="ar"/>
              </w:rPr>
              <w:t>￥90,000,000.00</w:t>
            </w:r>
          </w:p>
        </w:tc>
      </w:tr>
      <w:tr w14:paraId="54E0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25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70C0"/>
                <w:sz w:val="24"/>
                <w:szCs w:val="24"/>
                <w:u w:val="none"/>
              </w:rPr>
            </w:pPr>
            <w:r>
              <w:rPr>
                <w:rStyle w:val="24"/>
                <w:sz w:val="24"/>
                <w:szCs w:val="24"/>
                <w:lang w:val="en-US" w:eastAsia="zh-CN" w:bidi="ar"/>
              </w:rPr>
              <w:t>实际单价</w:t>
            </w:r>
            <w:r>
              <w:rPr>
                <w:rStyle w:val="25"/>
                <w:sz w:val="24"/>
                <w:szCs w:val="24"/>
                <w:lang w:val="en-US" w:eastAsia="zh-CN" w:bidi="ar"/>
              </w:rPr>
              <w:t>（元/平方米）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D1E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2950.82 </w:t>
            </w:r>
          </w:p>
        </w:tc>
      </w:tr>
      <w:tr w14:paraId="66CA3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C8F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Style w:val="26"/>
                <w:sz w:val="24"/>
                <w:szCs w:val="24"/>
                <w:lang w:val="en-US" w:eastAsia="zh-CN" w:bidi="ar"/>
              </w:rPr>
              <w:t>预计年收租金</w:t>
            </w:r>
            <w:r>
              <w:rPr>
                <w:rStyle w:val="27"/>
                <w:sz w:val="24"/>
                <w:szCs w:val="24"/>
                <w:lang w:val="en-US" w:eastAsia="zh-CN" w:bidi="ar"/>
              </w:rPr>
              <w:t>（元）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9A8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2200F0"/>
                <w:kern w:val="0"/>
                <w:sz w:val="24"/>
                <w:szCs w:val="24"/>
                <w:u w:val="none"/>
                <w:lang w:val="en-US" w:eastAsia="zh-CN" w:bidi="ar"/>
              </w:rPr>
              <w:t>￥6,000,000.00</w:t>
            </w:r>
          </w:p>
        </w:tc>
      </w:tr>
      <w:tr w14:paraId="70889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B9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Style w:val="26"/>
                <w:sz w:val="24"/>
                <w:szCs w:val="24"/>
                <w:lang w:val="en-US" w:eastAsia="zh-CN" w:bidi="ar"/>
              </w:rPr>
              <w:t>预计每平每月租金</w:t>
            </w:r>
            <w:r>
              <w:rPr>
                <w:rStyle w:val="27"/>
                <w:sz w:val="24"/>
                <w:szCs w:val="24"/>
                <w:lang w:val="en-US" w:eastAsia="zh-CN" w:bidi="ar"/>
              </w:rPr>
              <w:t>（元/（平方米*月））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B5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16.39 </w:t>
            </w:r>
          </w:p>
        </w:tc>
      </w:tr>
      <w:tr w14:paraId="7BD5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B8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8"/>
                <w:sz w:val="24"/>
                <w:szCs w:val="24"/>
                <w:lang w:val="en-US" w:eastAsia="zh-CN" w:bidi="ar"/>
              </w:rPr>
              <w:t>预计静态收益率</w:t>
            </w:r>
            <w:r>
              <w:rPr>
                <w:rStyle w:val="19"/>
                <w:sz w:val="24"/>
                <w:szCs w:val="24"/>
                <w:lang w:val="en-US" w:eastAsia="zh-CN" w:bidi="ar"/>
              </w:rPr>
              <w:t>（年毛利率）</w:t>
            </w:r>
          </w:p>
        </w:tc>
        <w:tc>
          <w:tcPr>
            <w:tcW w:w="8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55C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4"/>
                <w:szCs w:val="24"/>
                <w:u w:val="none"/>
                <w:lang w:val="en-US" w:eastAsia="zh-CN" w:bidi="ar"/>
              </w:rPr>
              <w:t>6.67%</w:t>
            </w:r>
          </w:p>
        </w:tc>
      </w:tr>
      <w:tr w14:paraId="60F42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7" w:hRule="atLeast"/>
        </w:trPr>
        <w:tc>
          <w:tcPr>
            <w:tcW w:w="13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22D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1.交易属性 ：产权过户；[待补充] 本产证；产权清晰，无查封/抵押瑕疵（或已达成清偿协议）；融资便利性极佳，银行评估支持度高；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2.价格优势 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总价 9000 万，建筑面积 30500 m²；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折合单价：90000000 ÷ 30500 ≈ ​2950.82 元/m²​；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税费承担：各自缴纳；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3.收益测算 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租金回报：年租金 [预估600] 万 ÷ 总投入 9000 万 = ​**静态收益率 6.67%​；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潜在毛利：(预估市场价 18000 万 - 成本 9000 万) ÷ 成本 = ​毛利率 100%**​；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[简评：由于银行贷款额度高达1.2亿，实际自有资金投入2000万即可撬动，财务杠杆收益率极高]；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4.核心亮点与退出 ：5折单价捡漏上海3万方大宗资产，银行超额授信保障现金流；退出路径建议：持有运营收取租金或整体质押融资后再行分割出售。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四、投资人待深入调查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土地产证年限，需要房产证；租赁二房东的租赁合同（或商管到期日）、合同期间租金交付的银行流水清单；资产贷款比例。</w:t>
            </w:r>
          </w:p>
        </w:tc>
      </w:tr>
    </w:tbl>
    <w:p w14:paraId="159CB8CB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</w:p>
    <w:p w14:paraId="3FD7C3A1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【物权收购可提供服务内容】</w:t>
      </w:r>
    </w:p>
    <w:p w14:paraId="68A3D354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1.此物权出售信息来源于业主方</w:t>
      </w:r>
    </w:p>
    <w:p w14:paraId="3B8E33CB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2.参与物权收购对价谈判全流程服务</w:t>
      </w:r>
    </w:p>
    <w:p w14:paraId="0887CA57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3.参与物权收购夹层及优先级配资服务</w:t>
      </w:r>
    </w:p>
    <w:p w14:paraId="31CE6B11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4.参与物权收购前后相关法律服务</w:t>
      </w:r>
    </w:p>
    <w:p w14:paraId="05F6EEE8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5.参与物权收购再融资服务</w:t>
      </w:r>
    </w:p>
    <w:p w14:paraId="5D9F3FAE">
      <w:pPr>
        <w:bidi w:val="0"/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</w:pPr>
      <w:r>
        <w:rPr>
          <w:rFonts w:hint="default"/>
          <w:b/>
          <w:bCs/>
          <w:i/>
          <w:iCs/>
          <w:color w:val="0000FF"/>
          <w:sz w:val="22"/>
          <w:szCs w:val="28"/>
          <w:highlight w:val="yellow"/>
        </w:rPr>
        <w:t>6.参与物权收购后运营提升</w:t>
      </w:r>
    </w:p>
    <w:p w14:paraId="61E815BB">
      <w:pPr>
        <w:bidi w:val="0"/>
        <w:rPr>
          <w:rFonts w:hint="default"/>
        </w:rPr>
      </w:pPr>
    </w:p>
    <w:p w14:paraId="5AA859C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五、其他信息</w:t>
      </w:r>
    </w:p>
    <w:p w14:paraId="2A8C09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jc w:val="left"/>
        <w:rPr>
          <w:rFonts w:hint="default" w:ascii="Open Sans" w:hAnsi="Open Sans" w:eastAsia="Open Sans" w:cs="Open Sans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4292E"/>
          <w:spacing w:val="0"/>
          <w:sz w:val="21"/>
          <w:szCs w:val="21"/>
        </w:rPr>
        <w:t>现场考察标的物照片</w:t>
      </w:r>
    </w:p>
    <w:p w14:paraId="0A5FA87E"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8839200" cy="4985385"/>
            <wp:effectExtent l="0" t="0" r="0" b="5715"/>
            <wp:docPr id="3" name="图片 3" descr="DJI_20260312165255_0192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JI_20260312165255_0192_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8839200" cy="4985385"/>
            <wp:effectExtent l="0" t="0" r="0" b="5715"/>
            <wp:docPr id="6" name="图片 6" descr="DJI_20260312163832_0177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JI_20260312163832_0177_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8839200" cy="4985385"/>
            <wp:effectExtent l="0" t="0" r="0" b="5715"/>
            <wp:docPr id="5" name="图片 5" descr="DJI_20260312164938_0190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JI_20260312164938_0190_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8839200" cy="4985385"/>
            <wp:effectExtent l="0" t="0" r="0" b="5715"/>
            <wp:docPr id="4" name="图片 4" descr="DJI_20260312164410_0183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JI_20260312164410_0183_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8839200" cy="4985385"/>
            <wp:effectExtent l="0" t="0" r="0" b="5715"/>
            <wp:docPr id="2" name="图片 2" descr="DJI_20260312164556_0186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JI_20260312164556_0186_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</w:rPr>
        <w:drawing>
          <wp:inline distT="0" distB="0" distL="114300" distR="114300">
            <wp:extent cx="8839200" cy="4985385"/>
            <wp:effectExtent l="0" t="0" r="0" b="5715"/>
            <wp:docPr id="1" name="图片 1" descr="DJI_20260312164344_0181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JI_20260312164344_0181_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F5562F02">
    <w:panose1 w:val="02020603050405020304"/>
    <w:charset w:val="00"/>
    <w:family w:val="auto"/>
    <w:pitch w:val="default"/>
    <w:sig w:usb0="00000001" w:usb1="00000000" w:usb2="00000000" w:usb3="00000000" w:csb0="00000001" w:csb1="00000000"/>
  </w:font>
  <w:font w:name="KSOF46000D03">
    <w:panose1 w:val="020208030705050203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8BEBB">
    <w:pPr>
      <w:pStyle w:val="11"/>
    </w:pPr>
    <w:r>
      <w:rPr>
        <w:sz w:val="18"/>
      </w:rPr>
      <w:pict>
        <v:shape id="_x0000_s4099" o:spid="_x0000_s4099" o:spt="136" type="#_x0000_t136" style="position:absolute;left:0pt;margin-left:394.3pt;margin-top:332.3pt;height:36.2pt;width:388.1pt;mso-position-horizontal-relative:margin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上海旭吾亿元商业管理有限公司" style="font-family:微软雅黑;font-size:36pt;v-same-letter-heights:f;v-text-align:center;"/>
        </v:shape>
      </w:pic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6AB284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6AB284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92710">
    <w:pPr>
      <w:pStyle w:val="12"/>
    </w:pPr>
    <w:r>
      <w:rPr>
        <w:sz w:val="18"/>
      </w:rPr>
      <w:pict>
        <v:shape id="_x0000_s4097" o:spid="_x0000_s4097" o:spt="136" type="#_x0000_t136" style="position:absolute;left:0pt;margin-left:-44.35pt;margin-top:98.25pt;height:36.2pt;width:388.1pt;mso-position-horizontal-relative:margin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上海旭吾亿元商业管理有限公司" style="font-family:微软雅黑;font-size:36pt;v-same-letter-heights:f;v-text-align:center;"/>
        </v:shape>
      </w:pict>
    </w:r>
    <w:r>
      <w:rPr>
        <w:sz w:val="18"/>
      </w:rPr>
      <w:pict>
        <v:shape id="PowerPlusWaterMarkObject16202" o:spid="_x0000_s4098" o:spt="136" type="#_x0000_t136" style="position:absolute;left:0pt;height:36.2pt;width:388.1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上海旭吾亿元商业管理有限公司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DB2CB"/>
    <w:multiLevelType w:val="multilevel"/>
    <w:tmpl w:val="9D4DB2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10334B8"/>
    <w:rsid w:val="07011CC2"/>
    <w:rsid w:val="07644792"/>
    <w:rsid w:val="078E0AF3"/>
    <w:rsid w:val="09284798"/>
    <w:rsid w:val="0BC72462"/>
    <w:rsid w:val="0F2B6FD9"/>
    <w:rsid w:val="1134315E"/>
    <w:rsid w:val="14D72CBF"/>
    <w:rsid w:val="183C240D"/>
    <w:rsid w:val="1AA24D9F"/>
    <w:rsid w:val="25B5026A"/>
    <w:rsid w:val="2781405D"/>
    <w:rsid w:val="28DA2E89"/>
    <w:rsid w:val="2A4254F9"/>
    <w:rsid w:val="2D1F32F4"/>
    <w:rsid w:val="323B4D81"/>
    <w:rsid w:val="3298720E"/>
    <w:rsid w:val="33922CA9"/>
    <w:rsid w:val="34B70380"/>
    <w:rsid w:val="399C2315"/>
    <w:rsid w:val="3AE174A3"/>
    <w:rsid w:val="3DF06A2B"/>
    <w:rsid w:val="43446334"/>
    <w:rsid w:val="44A84E71"/>
    <w:rsid w:val="477DCE1E"/>
    <w:rsid w:val="48B1130B"/>
    <w:rsid w:val="51591101"/>
    <w:rsid w:val="533F3520"/>
    <w:rsid w:val="56D90809"/>
    <w:rsid w:val="573E1E21"/>
    <w:rsid w:val="5B487E91"/>
    <w:rsid w:val="5B8E5526"/>
    <w:rsid w:val="5CF9550F"/>
    <w:rsid w:val="5EFEBDE8"/>
    <w:rsid w:val="60710045"/>
    <w:rsid w:val="642671DC"/>
    <w:rsid w:val="68CA2609"/>
    <w:rsid w:val="68CC1AED"/>
    <w:rsid w:val="69BB0F42"/>
    <w:rsid w:val="6A637494"/>
    <w:rsid w:val="6A7B7BC0"/>
    <w:rsid w:val="6BCF62E6"/>
    <w:rsid w:val="6CD3A16D"/>
    <w:rsid w:val="6D535020"/>
    <w:rsid w:val="6E5F49A6"/>
    <w:rsid w:val="6FFF37D2"/>
    <w:rsid w:val="70DE2EF1"/>
    <w:rsid w:val="75091F13"/>
    <w:rsid w:val="7C5F4108"/>
    <w:rsid w:val="7DB47549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6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9">
    <w:name w:val="font101"/>
    <w:basedOn w:val="16"/>
    <w:uiPriority w:val="0"/>
    <w:rPr>
      <w:rFonts w:hint="eastAsia" w:ascii="宋体" w:hAnsi="宋体" w:eastAsia="宋体" w:cs="宋体"/>
      <w:b/>
      <w:bCs/>
      <w:color w:val="000000"/>
      <w:sz w:val="12"/>
      <w:szCs w:val="12"/>
      <w:u w:val="none"/>
    </w:rPr>
  </w:style>
  <w:style w:type="character" w:customStyle="1" w:styleId="20">
    <w:name w:val="font31"/>
    <w:basedOn w:val="16"/>
    <w:uiPriority w:val="0"/>
    <w:rPr>
      <w:rFonts w:hint="eastAsia" w:ascii="宋体" w:hAnsi="宋体" w:eastAsia="宋体" w:cs="宋体"/>
      <w:b/>
      <w:bCs/>
      <w:color w:val="7030A0"/>
      <w:sz w:val="20"/>
      <w:szCs w:val="20"/>
      <w:u w:val="none"/>
    </w:rPr>
  </w:style>
  <w:style w:type="character" w:customStyle="1" w:styleId="21">
    <w:name w:val="font112"/>
    <w:basedOn w:val="16"/>
    <w:uiPriority w:val="0"/>
    <w:rPr>
      <w:rFonts w:hint="eastAsia" w:ascii="宋体" w:hAnsi="宋体" w:eastAsia="宋体" w:cs="宋体"/>
      <w:b/>
      <w:bCs/>
      <w:color w:val="7030A0"/>
      <w:sz w:val="12"/>
      <w:szCs w:val="12"/>
      <w:u w:val="none"/>
    </w:rPr>
  </w:style>
  <w:style w:type="character" w:customStyle="1" w:styleId="22">
    <w:name w:val="font51"/>
    <w:basedOn w:val="16"/>
    <w:qFormat/>
    <w:uiPriority w:val="0"/>
    <w:rPr>
      <w:rFonts w:hint="eastAsia" w:ascii="宋体" w:hAnsi="宋体" w:eastAsia="宋体" w:cs="宋体"/>
      <w:b/>
      <w:bCs/>
      <w:color w:val="00B050"/>
      <w:sz w:val="20"/>
      <w:szCs w:val="20"/>
      <w:u w:val="none"/>
    </w:rPr>
  </w:style>
  <w:style w:type="character" w:customStyle="1" w:styleId="23">
    <w:name w:val="font121"/>
    <w:basedOn w:val="16"/>
    <w:uiPriority w:val="0"/>
    <w:rPr>
      <w:rFonts w:hint="eastAsia" w:ascii="宋体" w:hAnsi="宋体" w:eastAsia="宋体" w:cs="宋体"/>
      <w:b/>
      <w:bCs/>
      <w:color w:val="00B050"/>
      <w:sz w:val="12"/>
      <w:szCs w:val="12"/>
      <w:u w:val="none"/>
    </w:rPr>
  </w:style>
  <w:style w:type="character" w:customStyle="1" w:styleId="24">
    <w:name w:val="font61"/>
    <w:basedOn w:val="16"/>
    <w:qFormat/>
    <w:uiPriority w:val="0"/>
    <w:rPr>
      <w:rFonts w:hint="eastAsia" w:ascii="宋体" w:hAnsi="宋体" w:eastAsia="宋体" w:cs="宋体"/>
      <w:b/>
      <w:bCs/>
      <w:color w:val="0070C0"/>
      <w:sz w:val="20"/>
      <w:szCs w:val="20"/>
      <w:u w:val="none"/>
    </w:rPr>
  </w:style>
  <w:style w:type="character" w:customStyle="1" w:styleId="25">
    <w:name w:val="font131"/>
    <w:basedOn w:val="16"/>
    <w:uiPriority w:val="0"/>
    <w:rPr>
      <w:rFonts w:hint="eastAsia" w:ascii="宋体" w:hAnsi="宋体" w:eastAsia="宋体" w:cs="宋体"/>
      <w:b/>
      <w:bCs/>
      <w:color w:val="0070C0"/>
      <w:sz w:val="12"/>
      <w:szCs w:val="12"/>
      <w:u w:val="none"/>
    </w:rPr>
  </w:style>
  <w:style w:type="character" w:customStyle="1" w:styleId="26">
    <w:name w:val="font71"/>
    <w:basedOn w:val="16"/>
    <w:qFormat/>
    <w:uiPriority w:val="0"/>
    <w:rPr>
      <w:rFonts w:hint="eastAsia" w:ascii="宋体" w:hAnsi="宋体" w:eastAsia="宋体" w:cs="宋体"/>
      <w:b/>
      <w:bCs/>
      <w:color w:val="FF0000"/>
      <w:sz w:val="20"/>
      <w:szCs w:val="20"/>
      <w:u w:val="none"/>
    </w:rPr>
  </w:style>
  <w:style w:type="character" w:customStyle="1" w:styleId="27">
    <w:name w:val="font141"/>
    <w:basedOn w:val="16"/>
    <w:uiPriority w:val="0"/>
    <w:rPr>
      <w:rFonts w:hint="eastAsia" w:ascii="宋体" w:hAnsi="宋体" w:eastAsia="宋体" w:cs="宋体"/>
      <w:b/>
      <w:bCs/>
      <w:color w:val="FF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1363</Words>
  <Characters>1512</Characters>
  <Lines>0</Lines>
  <Paragraphs>0</Paragraphs>
  <TotalTime>0</TotalTime>
  <ScaleCrop>false</ScaleCrop>
  <LinksUpToDate>false</LinksUpToDate>
  <CharactersWithSpaces>1571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20848</dc:creator>
  <cp:lastModifiedBy>Cooler</cp:lastModifiedBy>
  <dcterms:modified xsi:type="dcterms:W3CDTF">2026-03-30T03:12:21Z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eyJoZGlkIjoiYjFjZjJhZDdmMTBlYmY3M2M4MWJkYjRhYWRkYWVhZWIiLCJ1c2VySWQiOiIxNzEwNDE1OTUwIn0=</vt:lpwstr>
  </property>
  <property fmtid="{D5CDD505-2E9C-101B-9397-08002B2CF9AE}" pid="6" name="ICV">
    <vt:lpwstr>A56C4B00732A475997717BC6FC367AF4_13</vt:lpwstr>
  </property>
</Properties>
</file>