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9EF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right"/>
        <w:rPr>
          <w:rFonts w:hint="default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编号： 2026-上海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  <w:t>24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-0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  <w:t>69</w:t>
      </w:r>
    </w:p>
    <w:p w14:paraId="6D02A3C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center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</w:rPr>
        <w:t>旭吾亿元资产推荐上海项目(0</w:t>
      </w:r>
      <w:r>
        <w:rPr>
          <w:rFonts w:hint="eastAsia" w:ascii="Open Sans" w:hAnsi="Open Sans" w:eastAsia="宋体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  <w:lang w:val="en-US" w:eastAsia="zh-CN"/>
        </w:rPr>
        <w:t>69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</w:rPr>
        <w:t>)</w:t>
      </w:r>
    </w:p>
    <w:p w14:paraId="77EABA7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center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24292E"/>
          <w:spacing w:val="0"/>
          <w:sz w:val="48"/>
          <w:szCs w:val="48"/>
        </w:rPr>
        <w:t>上海嘉定喜来登酒店（冠辕投资不动产及固定资产整体资产包）</w:t>
      </w:r>
    </w:p>
    <w:p w14:paraId="23373AB6">
      <w:pPr>
        <w:pStyle w:val="3"/>
        <w:bidi w:val="0"/>
        <w:rPr>
          <w:rFonts w:hint="default"/>
        </w:rPr>
      </w:pPr>
      <w:r>
        <w:rPr>
          <w:rFonts w:hint="default"/>
        </w:rPr>
        <w:t>一、资产介绍</w:t>
      </w:r>
    </w:p>
    <w:p w14:paraId="3C704D6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地址 ：上海市嘉定区菊园新区嘉唐公路66号；</w:t>
      </w:r>
    </w:p>
    <w:p w14:paraId="7AB0948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面积 ：</w:t>
      </w:r>
    </w:p>
    <w:p w14:paraId="48232B4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土地面积：20163 m²，1 本产证（土地性质：商业用地（宾馆），使用期限至2049年7月20日）；</w:t>
      </w:r>
    </w:p>
    <w:p w14:paraId="75DEA7B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建筑面积：83408.69 m²，1 本产证（结构/层数：钢混 / 总层数23层（含地下2层））；</w:t>
      </w:r>
    </w:p>
    <w:p w14:paraId="7263D87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资产性质 ：商业 / 酒店；</w:t>
      </w:r>
    </w:p>
    <w:p w14:paraId="698913E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价格/评估 ：</w:t>
      </w:r>
    </w:p>
    <w:p w14:paraId="4CD267F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评估总价：106158.63 万；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  <w:t>报价：40000万元；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单价测算：4795.66 元/m²（计算公式：400000000 ÷ 83408.69）；</w:t>
      </w:r>
    </w:p>
    <w:p w14:paraId="2192CDD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租赁/运营现状 ：</w:t>
      </w:r>
    </w:p>
    <w:p w14:paraId="078F97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目前由万豪管理公司负责运营管理（嘉定喜来登酒店），处于正常经营状态；存在多处场地临时占用及租赁协议，合计月固定占用费约 9.25 万元，另有 15 年期长租约（年租金 169.73 万）；</w:t>
      </w:r>
    </w:p>
    <w:p w14:paraId="583DCDE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项目亮点 ：</w:t>
      </w:r>
    </w:p>
    <w:p w14:paraId="3DB48D3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【国际品牌背书】知名品牌万豪旗下喜来登酒店运营，具备成熟的品牌影响力和客源基础；</w:t>
      </w:r>
    </w:p>
    <w:p w14:paraId="312A733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【优质硬件设施】2016年竣工，建面超8万平，包含完整酒店机器设备及固定资产，接手即可运营；</w:t>
      </w:r>
    </w:p>
    <w:p w14:paraId="3214107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【极高投资杠杆】起拍价仅为评估价的37.6%，预留了巨大的资本利得空间和安全边际；</w:t>
      </w:r>
    </w:p>
    <w:p w14:paraId="69FA463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交易方式 ：产权过户；</w:t>
      </w:r>
    </w:p>
    <w:p w14:paraId="1B9F676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税费缴纳：交易过程中涉及的税收和费用（增值税、土地增值税、契税等）由原权利人及买受人依照相关规定各自承担。</w:t>
      </w:r>
    </w:p>
    <w:p w14:paraId="589EB586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lang w:val="en-US" w:eastAsia="zh-CN"/>
        </w:rPr>
        <w:t>附近</w:t>
      </w:r>
      <w:r>
        <w:rPr>
          <w:rFonts w:hint="default" w:ascii="sans-serif" w:hAnsi="sans-serif" w:eastAsia="sans-serif" w:cs="sans-serif"/>
        </w:rPr>
        <w:t>标的物拍卖信息总结</w:t>
      </w:r>
    </w:p>
    <w:tbl>
      <w:tblPr>
        <w:tblStyle w:val="14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5050"/>
      </w:tblGrid>
      <w:tr w14:paraId="54E6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2BB23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4011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上海市嘉定区永靖路899弄（保利海上五月花小区内）</w:t>
            </w:r>
          </w:p>
        </w:tc>
      </w:tr>
      <w:tr w14:paraId="70D90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DA3CE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建筑面积(㎡)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E260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195.18 ㎡</w:t>
            </w:r>
          </w:p>
        </w:tc>
      </w:tr>
      <w:tr w14:paraId="4EA8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86443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房产类型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8073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联列住宅</w:t>
            </w:r>
          </w:p>
        </w:tc>
      </w:tr>
      <w:tr w14:paraId="49F09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BBCA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评估价(万元)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D4CC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1,296 万元</w:t>
            </w:r>
          </w:p>
        </w:tc>
      </w:tr>
      <w:tr w14:paraId="32239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04D1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起拍价(万元)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1F22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777.6 万元</w:t>
            </w:r>
          </w:p>
        </w:tc>
      </w:tr>
      <w:tr w14:paraId="2A74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2461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成交价(万元)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4D6C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944.8 万元</w:t>
            </w:r>
          </w:p>
        </w:tc>
      </w:tr>
      <w:tr w14:paraId="6BB0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A974F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成交单价(元/㎡)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96CB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 48,406.60 元/㎡</w:t>
            </w:r>
          </w:p>
        </w:tc>
      </w:tr>
      <w:tr w14:paraId="4CDB9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DE201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溢价率</w:t>
            </w:r>
          </w:p>
        </w:tc>
        <w:tc>
          <w:tcPr>
            <w:tcW w:w="5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B715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 21.50%</w:t>
            </w:r>
          </w:p>
        </w:tc>
      </w:tr>
    </w:tbl>
    <w:p w14:paraId="16BDC20F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7504F">
      <w:pPr>
        <w:pStyle w:val="3"/>
        <w:bidi w:val="0"/>
        <w:rPr>
          <w:rFonts w:hint="default"/>
        </w:rPr>
      </w:pPr>
      <w:r>
        <w:rPr>
          <w:rFonts w:hint="default"/>
        </w:rPr>
        <w:t>二、九大维度价值深度解析</w:t>
      </w:r>
    </w:p>
    <w:p w14:paraId="59DE28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地理位置</w:t>
      </w:r>
    </w:p>
    <w:p w14:paraId="0A6C7E1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战略坐标 ：位于上海西北门户，嘉定新城核心辐射区，是连接上海市区与江苏太仓、昆山的重要节点；</w:t>
      </w:r>
    </w:p>
    <w:p w14:paraId="2F3CC5CF">
      <w:pPr>
        <w:bidi w:val="0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区域优势 ：坐落于嘉定菊园新区，东临横沥河生态带，南接环城路，地理位置优越，属于嘉定传统商业与行政中心交汇处；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drawing>
          <wp:inline distT="0" distB="0" distL="114300" distR="114300">
            <wp:extent cx="8852535" cy="4766310"/>
            <wp:effectExtent l="0" t="0" r="57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E9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发展情况</w:t>
      </w:r>
    </w:p>
    <w:p w14:paraId="425174C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政策红利 ：嘉定区致力于打造“东方车谷”及现代化新城，作为区域内标志性高端商业配套，项目持续享受产城融合带来的政策扶持；</w:t>
      </w:r>
    </w:p>
    <w:p w14:paraId="02B47F7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商业/产业氛围 ：周边商业聚集度高，临近信业购物中心、罗宾森广场及嘉定宝龙广场，商办氛围浓厚；</w:t>
      </w:r>
    </w:p>
    <w:p w14:paraId="3C697B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周边人口 / 劳动力</w:t>
      </w:r>
    </w:p>
    <w:p w14:paraId="153F0E8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人口规模 ：周边覆盖多个大型居住社区及大专院校，常住人口密集，商务差旅与本地休闲消费流量巨大；</w:t>
      </w:r>
    </w:p>
    <w:p w14:paraId="542B7BD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人群特征 ：涵盖上海大学（嘉定校区）师生、周边金融中心白领及汽车产业园区的高净值商务人群；</w:t>
      </w:r>
    </w:p>
    <w:p w14:paraId="5A92BD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建筑与土地情况</w:t>
      </w:r>
    </w:p>
    <w:p w14:paraId="2BA4B98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硬件参数 ：2016年核准权证，外立面现代大气，层高符合国际五星级酒店标准，拥有2.5万平大型地下停车及配套空间；</w:t>
      </w:r>
    </w:p>
    <w:p w14:paraId="040FD32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现状与潜力 ：酒店处于自主经营中，装修保养良好。未来可通过优化物业管理、提升坪效或引入更具竞争力的商业业态提升资产价值；</w:t>
      </w:r>
    </w:p>
    <w:p w14:paraId="71A8E6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区域经济与GDP</w:t>
      </w:r>
    </w:p>
    <w:p w14:paraId="2CAE03A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经济数据 ：嘉定区GDP稳居上海前列，汽车产业链及高新技术产业支撑力极强，区域经济活跃度极高；</w:t>
      </w:r>
    </w:p>
    <w:p w14:paraId="56C9855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产业地位 ：作为上海重要的产业重镇，项目周边分布大量国资金融大厦及研发中心，商务住宿需求稳健；</w:t>
      </w:r>
    </w:p>
    <w:p w14:paraId="2E13F9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房价 / 地价 / 租金</w:t>
      </w:r>
    </w:p>
    <w:p w14:paraId="7417C53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周边行情 ：周边同类商业/写字楼房产均价约 15000-20000 元/m²；</w:t>
      </w:r>
    </w:p>
    <w:p w14:paraId="1F920D4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成本优势 ：本项目单价 4795.66 元/m²，仅为市场均价的 25%-30%左右，具有极高的安全垫和套利空间；</w:t>
      </w:r>
    </w:p>
    <w:p w14:paraId="6F8F83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消费水平 / 适配行业</w:t>
      </w:r>
    </w:p>
    <w:p w14:paraId="0392D77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消费能力 ：周边人群消费层级跨度大，既有稳定的商务接待需求，也有强劲的节假日宴会、婚庆及餐饮消费能力；</w:t>
      </w:r>
    </w:p>
    <w:p w14:paraId="6DE13C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基础设施</w:t>
      </w:r>
    </w:p>
    <w:p w14:paraId="702B37D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市政配套 ：给排水、供电、供气及通信等市政设施齐全，满足五星级酒店运营需求；</w:t>
      </w:r>
    </w:p>
    <w:p w14:paraId="6AB9DB4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生活配套 ：周边配套完善，包括上海远东学校、嘉定区中医医院等教育医疗资源，以及各大主流银行分支机构；</w:t>
      </w:r>
    </w:p>
    <w:p w14:paraId="744745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交通设施</w:t>
      </w:r>
    </w:p>
    <w:p w14:paraId="0638628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轨道/航空 ：临近轨道交通11号线嘉定北站，可快速直达徐家汇及迪士尼，距离虹桥枢纽约 30 分钟车程；</w:t>
      </w:r>
    </w:p>
    <w:p w14:paraId="6B81913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路网交通 ：紧邻嘉唐公路、平城路等干道，可快速接入S5沪嘉高速、G1503绕城高速，交通网络四通八达；</w:t>
      </w:r>
    </w:p>
    <w:p w14:paraId="0EC77BD6">
      <w:pPr>
        <w:pStyle w:val="3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投资总结</w:t>
      </w:r>
    </w:p>
    <w:tbl>
      <w:tblPr>
        <w:tblStyle w:val="14"/>
        <w:tblW w:w="135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9"/>
        <w:gridCol w:w="8000"/>
      </w:tblGrid>
      <w:tr w14:paraId="7CBAF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68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总建筑面积</w:t>
            </w:r>
            <w:r>
              <w:rPr>
                <w:rStyle w:val="28"/>
                <w:sz w:val="28"/>
                <w:szCs w:val="28"/>
                <w:lang w:val="en-US" w:eastAsia="zh-CN" w:bidi="ar"/>
              </w:rPr>
              <w:t>（平方米）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E43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83408.69</w:t>
            </w:r>
          </w:p>
        </w:tc>
      </w:tr>
      <w:tr w14:paraId="19C5D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C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kern w:val="0"/>
                <w:sz w:val="28"/>
                <w:szCs w:val="28"/>
                <w:u w:val="none"/>
                <w:lang w:val="en-US" w:eastAsia="zh-CN" w:bidi="ar"/>
              </w:rPr>
              <w:t>评估总价（元）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D58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8"/>
                <w:szCs w:val="28"/>
                <w:u w:val="none"/>
                <w:lang w:val="en-US" w:eastAsia="zh-CN" w:bidi="ar"/>
              </w:rPr>
              <w:t>￥1,061,580,000.00</w:t>
            </w:r>
          </w:p>
        </w:tc>
      </w:tr>
      <w:tr w14:paraId="3F12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27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kern w:val="0"/>
                <w:sz w:val="28"/>
                <w:szCs w:val="28"/>
                <w:u w:val="none"/>
                <w:lang w:val="en-US" w:eastAsia="zh-CN" w:bidi="ar"/>
              </w:rPr>
              <w:t>评估单价（元/平方米）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377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12727.45 </w:t>
            </w:r>
          </w:p>
        </w:tc>
      </w:tr>
      <w:tr w14:paraId="2AB42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9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kern w:val="0"/>
                <w:sz w:val="28"/>
                <w:szCs w:val="28"/>
                <w:u w:val="none"/>
                <w:lang w:val="en-US" w:eastAsia="zh-CN" w:bidi="ar"/>
              </w:rPr>
              <w:t>成交总价（元）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05294">
            <w:pPr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8"/>
                <w:szCs w:val="28"/>
                <w:u w:val="none"/>
              </w:rPr>
            </w:pPr>
          </w:p>
        </w:tc>
      </w:tr>
      <w:tr w14:paraId="42815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C1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kern w:val="0"/>
                <w:sz w:val="28"/>
                <w:szCs w:val="28"/>
                <w:u w:val="none"/>
                <w:lang w:val="en-US" w:eastAsia="zh-CN" w:bidi="ar"/>
              </w:rPr>
              <w:t>成交单价（元/平方米）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790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0.00 </w:t>
            </w:r>
          </w:p>
        </w:tc>
      </w:tr>
      <w:tr w14:paraId="4D982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CC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实际总报价（元）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A73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8"/>
                <w:szCs w:val="28"/>
                <w:u w:val="none"/>
                <w:lang w:val="en-US" w:eastAsia="zh-CN" w:bidi="ar"/>
              </w:rPr>
              <w:t>￥400,000,000.00</w:t>
            </w:r>
          </w:p>
        </w:tc>
      </w:tr>
      <w:tr w14:paraId="4B33E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3B9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实际单价（元/平方米）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BA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4795.66 </w:t>
            </w:r>
          </w:p>
        </w:tc>
      </w:tr>
      <w:tr w14:paraId="57FC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E5F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t>预计年收租金</w:t>
            </w:r>
            <w:r>
              <w:rPr>
                <w:rStyle w:val="29"/>
                <w:sz w:val="28"/>
                <w:szCs w:val="28"/>
                <w:lang w:val="en-US" w:eastAsia="zh-CN" w:bidi="ar"/>
              </w:rPr>
              <w:t>（元）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48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8"/>
                <w:szCs w:val="28"/>
                <w:u w:val="none"/>
                <w:lang w:val="en-US" w:eastAsia="zh-CN" w:bidi="ar"/>
              </w:rPr>
              <w:t>￥2,800,000.00</w:t>
            </w:r>
          </w:p>
        </w:tc>
      </w:tr>
      <w:tr w14:paraId="56C78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15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t>预计每平每月租金</w:t>
            </w:r>
            <w:r>
              <w:rPr>
                <w:rStyle w:val="29"/>
                <w:sz w:val="28"/>
                <w:szCs w:val="28"/>
                <w:lang w:val="en-US" w:eastAsia="zh-CN" w:bidi="ar"/>
              </w:rPr>
              <w:t>（元/（平方米*月））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E49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2.80 </w:t>
            </w:r>
          </w:p>
        </w:tc>
      </w:tr>
      <w:tr w14:paraId="00108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C9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预计静态收益率</w:t>
            </w:r>
            <w:r>
              <w:rPr>
                <w:rStyle w:val="28"/>
                <w:sz w:val="28"/>
                <w:szCs w:val="28"/>
                <w:lang w:val="en-US" w:eastAsia="zh-CN" w:bidi="ar"/>
              </w:rPr>
              <w:t>（年毛利率）</w:t>
            </w:r>
          </w:p>
        </w:tc>
        <w:tc>
          <w:tcPr>
            <w:tcW w:w="8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5F8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t>0.70%</w:t>
            </w:r>
          </w:p>
        </w:tc>
      </w:tr>
      <w:tr w14:paraId="10F7A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5" w:hRule="atLeast"/>
        </w:trPr>
        <w:tc>
          <w:tcPr>
            <w:tcW w:w="135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31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1.交易属性 ：产权过户；1 本房产产证；产证来源新建，权属清晰，存在多重查封但通过交易流程可涤除；大体量优质资产极具融资抵押价值；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2.价格优势 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总价 40000.00 万，建筑面积 83408.69 m²；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折合单价：400000000 ÷ 83408.69 ≈ ​4795.66 元/m²​；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税费承担：由买卖双方依照法律规定各自缴纳；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3.收益测算 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租金回报：如果年租金收入（含占用费及长租）约 280.00 万 ÷ 总投入 40000.00 万 = ​**静态收益率 0.7%​（注：此仅为固定租金，未计入酒店经营性净收入）；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潜在毛利：(预估市场价 106158.00 万 - 成本 40000.00 万) ÷ 成本 = ​毛利率 165.40%**​；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[简评：当前价格仅为评估价的3.7折，纯资产套利空间巨大，适合具备酒店运营能力或资产改造经验的资方长线持有]；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4.核心亮点与退出 ：上海稀缺的五星级品牌酒店整体资产包，极低单价切入，具备极强稀缺性；退出路径建议：继续引入高端运营方提升盈利后整体转售或通过REITs等金融化手段退出。</w:t>
            </w:r>
          </w:p>
        </w:tc>
      </w:tr>
    </w:tbl>
    <w:p w14:paraId="4AC09E18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6A0DAB88">
      <w:pPr>
        <w:pStyle w:val="3"/>
        <w:bidi w:val="0"/>
        <w:rPr>
          <w:rFonts w:hint="default"/>
        </w:rPr>
      </w:pPr>
      <w:r>
        <w:rPr>
          <w:rFonts w:hint="default"/>
        </w:rPr>
        <w:t>四、投资人待深入调查</w:t>
      </w:r>
    </w:p>
    <w:p w14:paraId="0700147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土地产证年限，需要房产证；租赁二房东的租赁合同（或商管到期日）、合同期间租金交付的银行流水清单；资产贷款比例。</w:t>
      </w:r>
    </w:p>
    <w:p w14:paraId="64EC255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【物权收购可提供服务内容】</w:t>
      </w:r>
    </w:p>
    <w:p w14:paraId="391B450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1.此物权出售信息来源于业主方</w:t>
      </w:r>
    </w:p>
    <w:p w14:paraId="4D62A6F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2.参与物权收购对价谈判全流程服务</w:t>
      </w:r>
    </w:p>
    <w:p w14:paraId="49ECB10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3.参与物权收购夹层及优先级配资服务</w:t>
      </w:r>
    </w:p>
    <w:p w14:paraId="7110DF8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4.参与物权收购前后相关法律服务</w:t>
      </w:r>
    </w:p>
    <w:p w14:paraId="1475F4F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5.参与物权收购再融资服务</w:t>
      </w:r>
    </w:p>
    <w:p w14:paraId="454B40A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yellow"/>
        </w:rPr>
        <w:t>6.参与物权收购后运营提升</w:t>
      </w:r>
    </w:p>
    <w:p w14:paraId="4D18AACE">
      <w:pPr>
        <w:pStyle w:val="3"/>
        <w:bidi w:val="0"/>
        <w:rPr>
          <w:rFonts w:hint="default"/>
        </w:rPr>
      </w:pPr>
      <w:r>
        <w:rPr>
          <w:rFonts w:hint="default"/>
        </w:rPr>
        <w:t>五、其他信息</w:t>
      </w:r>
    </w:p>
    <w:p w14:paraId="47E6F5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现场考察标的物照片</w:t>
      </w:r>
    </w:p>
    <w:p w14:paraId="6621DC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</w:pPr>
      <w:r>
        <w:drawing>
          <wp:inline distT="0" distB="0" distL="114300" distR="114300">
            <wp:extent cx="3762375" cy="3171825"/>
            <wp:effectExtent l="0" t="0" r="9525" b="952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6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default"/>
        </w:rPr>
      </w:pPr>
      <w:r>
        <w:drawing>
          <wp:inline distT="0" distB="0" distL="114300" distR="114300">
            <wp:extent cx="3581400" cy="354330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29050" cy="3876675"/>
            <wp:effectExtent l="0" t="0" r="0" b="952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57625" cy="3790950"/>
            <wp:effectExtent l="0" t="0" r="9525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8550" cy="3533775"/>
            <wp:effectExtent l="0" t="0" r="0" b="952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97B1">
      <w:pPr>
        <w:rPr>
          <w:rFonts w:hint="default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F5562F02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KSOF46000D03">
    <w:panose1 w:val="020208030705050203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14288">
    <w:pPr>
      <w:pStyle w:val="11"/>
    </w:pPr>
    <w:r>
      <w:rPr>
        <w:sz w:val="18"/>
      </w:rPr>
      <w:pict>
        <v:shape id="_x0000_s4099" o:spid="_x0000_s4099" o:spt="136" type="#_x0000_t136" style="position:absolute;left:0pt;margin-left:339.15pt;margin-top:262pt;height:36.2pt;width:388.1pt;mso-position-horizontal-relative:margin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D58129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D58129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B5062">
    <w:pPr>
      <w:pStyle w:val="12"/>
    </w:pPr>
    <w:r>
      <w:rPr>
        <w:sz w:val="18"/>
      </w:rPr>
      <w:pict>
        <v:shape id="_x0000_s4097" o:spid="_x0000_s4097" o:spt="136" type="#_x0000_t136" style="position:absolute;left:0pt;margin-left:-25.8pt;margin-top:118.45pt;height:36.2pt;width:388.1pt;mso-position-horizontal-relative:margin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  <w:r>
      <w:rPr>
        <w:sz w:val="18"/>
      </w:rPr>
      <w:pict>
        <v:shape id="PowerPlusWaterMarkObject16202" o:spid="_x0000_s4098" o:spt="136" type="#_x0000_t136" style="position:absolute;left:0pt;height:36.2pt;width:388.1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ABD5E"/>
    <w:multiLevelType w:val="multilevel"/>
    <w:tmpl w:val="CA7ABD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A55A881"/>
    <w:multiLevelType w:val="singleLevel"/>
    <w:tmpl w:val="5A55A88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24C4754"/>
    <w:rsid w:val="05D35CFF"/>
    <w:rsid w:val="07011CC2"/>
    <w:rsid w:val="07644792"/>
    <w:rsid w:val="09284798"/>
    <w:rsid w:val="0D620389"/>
    <w:rsid w:val="0F2B6FD9"/>
    <w:rsid w:val="107C0AD5"/>
    <w:rsid w:val="12450788"/>
    <w:rsid w:val="137612B1"/>
    <w:rsid w:val="13CC2F63"/>
    <w:rsid w:val="15AA689B"/>
    <w:rsid w:val="183C240D"/>
    <w:rsid w:val="19BF36C9"/>
    <w:rsid w:val="1AA24D9F"/>
    <w:rsid w:val="1C007A07"/>
    <w:rsid w:val="1C3B7FDD"/>
    <w:rsid w:val="27483BF7"/>
    <w:rsid w:val="28DA2E89"/>
    <w:rsid w:val="2A4254F9"/>
    <w:rsid w:val="2D1F32F4"/>
    <w:rsid w:val="2F613A1C"/>
    <w:rsid w:val="323B4D81"/>
    <w:rsid w:val="34B70380"/>
    <w:rsid w:val="39D54C2E"/>
    <w:rsid w:val="3ADB2718"/>
    <w:rsid w:val="3AE174A3"/>
    <w:rsid w:val="43446334"/>
    <w:rsid w:val="44A84E71"/>
    <w:rsid w:val="477DCE1E"/>
    <w:rsid w:val="492359B6"/>
    <w:rsid w:val="4A280A90"/>
    <w:rsid w:val="4B5C5B9F"/>
    <w:rsid w:val="4F2A1D7E"/>
    <w:rsid w:val="50574197"/>
    <w:rsid w:val="528278EA"/>
    <w:rsid w:val="572F3778"/>
    <w:rsid w:val="5738345D"/>
    <w:rsid w:val="573E1E21"/>
    <w:rsid w:val="5B487E91"/>
    <w:rsid w:val="5CF9550F"/>
    <w:rsid w:val="5D245401"/>
    <w:rsid w:val="5D97217A"/>
    <w:rsid w:val="5EFEBDE8"/>
    <w:rsid w:val="60704079"/>
    <w:rsid w:val="689A52B4"/>
    <w:rsid w:val="68CA2609"/>
    <w:rsid w:val="68CC1AED"/>
    <w:rsid w:val="69BB0F42"/>
    <w:rsid w:val="6A637494"/>
    <w:rsid w:val="6BCF62E6"/>
    <w:rsid w:val="6CD3A16D"/>
    <w:rsid w:val="6D411B6C"/>
    <w:rsid w:val="6D535020"/>
    <w:rsid w:val="6E376D60"/>
    <w:rsid w:val="6E5F49A6"/>
    <w:rsid w:val="6FFF37D2"/>
    <w:rsid w:val="70DE2EF1"/>
    <w:rsid w:val="7C5F4108"/>
    <w:rsid w:val="7DE14B95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9">
    <w:name w:val="font112"/>
    <w:basedOn w:val="16"/>
    <w:qFormat/>
    <w:uiPriority w:val="0"/>
    <w:rPr>
      <w:rFonts w:hint="eastAsia" w:ascii="宋体" w:hAnsi="宋体" w:eastAsia="宋体" w:cs="宋体"/>
      <w:b/>
      <w:bCs/>
      <w:color w:val="000000"/>
      <w:sz w:val="12"/>
      <w:szCs w:val="12"/>
      <w:u w:val="none"/>
    </w:rPr>
  </w:style>
  <w:style w:type="character" w:customStyle="1" w:styleId="20">
    <w:name w:val="font31"/>
    <w:basedOn w:val="16"/>
    <w:qFormat/>
    <w:uiPriority w:val="0"/>
    <w:rPr>
      <w:rFonts w:hint="eastAsia" w:ascii="宋体" w:hAnsi="宋体" w:eastAsia="宋体" w:cs="宋体"/>
      <w:b/>
      <w:bCs/>
      <w:color w:val="7030A0"/>
      <w:sz w:val="20"/>
      <w:szCs w:val="20"/>
      <w:u w:val="none"/>
    </w:rPr>
  </w:style>
  <w:style w:type="character" w:customStyle="1" w:styleId="21">
    <w:name w:val="font121"/>
    <w:basedOn w:val="16"/>
    <w:qFormat/>
    <w:uiPriority w:val="0"/>
    <w:rPr>
      <w:rFonts w:hint="eastAsia" w:ascii="宋体" w:hAnsi="宋体" w:eastAsia="宋体" w:cs="宋体"/>
      <w:b/>
      <w:bCs/>
      <w:color w:val="7030A0"/>
      <w:sz w:val="12"/>
      <w:szCs w:val="12"/>
      <w:u w:val="none"/>
    </w:rPr>
  </w:style>
  <w:style w:type="character" w:customStyle="1" w:styleId="22">
    <w:name w:val="font51"/>
    <w:basedOn w:val="16"/>
    <w:qFormat/>
    <w:uiPriority w:val="0"/>
    <w:rPr>
      <w:rFonts w:hint="eastAsia" w:ascii="宋体" w:hAnsi="宋体" w:eastAsia="宋体" w:cs="宋体"/>
      <w:b/>
      <w:bCs/>
      <w:color w:val="00B050"/>
      <w:sz w:val="20"/>
      <w:szCs w:val="20"/>
      <w:u w:val="none"/>
    </w:rPr>
  </w:style>
  <w:style w:type="character" w:customStyle="1" w:styleId="23">
    <w:name w:val="font131"/>
    <w:basedOn w:val="16"/>
    <w:qFormat/>
    <w:uiPriority w:val="0"/>
    <w:rPr>
      <w:rFonts w:hint="eastAsia" w:ascii="宋体" w:hAnsi="宋体" w:eastAsia="宋体" w:cs="宋体"/>
      <w:b/>
      <w:bCs/>
      <w:color w:val="00B050"/>
      <w:sz w:val="12"/>
      <w:szCs w:val="12"/>
      <w:u w:val="none"/>
    </w:rPr>
  </w:style>
  <w:style w:type="character" w:customStyle="1" w:styleId="24">
    <w:name w:val="font61"/>
    <w:basedOn w:val="16"/>
    <w:qFormat/>
    <w:uiPriority w:val="0"/>
    <w:rPr>
      <w:rFonts w:hint="eastAsia" w:ascii="宋体" w:hAnsi="宋体" w:eastAsia="宋体" w:cs="宋体"/>
      <w:b/>
      <w:bCs/>
      <w:color w:val="0070C0"/>
      <w:sz w:val="20"/>
      <w:szCs w:val="20"/>
      <w:u w:val="none"/>
    </w:rPr>
  </w:style>
  <w:style w:type="character" w:customStyle="1" w:styleId="25">
    <w:name w:val="font141"/>
    <w:basedOn w:val="16"/>
    <w:qFormat/>
    <w:uiPriority w:val="0"/>
    <w:rPr>
      <w:rFonts w:hint="eastAsia" w:ascii="宋体" w:hAnsi="宋体" w:eastAsia="宋体" w:cs="宋体"/>
      <w:b/>
      <w:bCs/>
      <w:color w:val="0070C0"/>
      <w:sz w:val="12"/>
      <w:szCs w:val="12"/>
      <w:u w:val="none"/>
    </w:rPr>
  </w:style>
  <w:style w:type="character" w:customStyle="1" w:styleId="26">
    <w:name w:val="font71"/>
    <w:basedOn w:val="16"/>
    <w:qFormat/>
    <w:uiPriority w:val="0"/>
    <w:rPr>
      <w:rFonts w:hint="eastAsia" w:ascii="宋体" w:hAnsi="宋体" w:eastAsia="宋体" w:cs="宋体"/>
      <w:b/>
      <w:bCs/>
      <w:color w:val="FF0000"/>
      <w:sz w:val="20"/>
      <w:szCs w:val="20"/>
      <w:u w:val="none"/>
    </w:rPr>
  </w:style>
  <w:style w:type="character" w:customStyle="1" w:styleId="27">
    <w:name w:val="font151"/>
    <w:basedOn w:val="16"/>
    <w:qFormat/>
    <w:uiPriority w:val="0"/>
    <w:rPr>
      <w:rFonts w:hint="eastAsia" w:ascii="宋体" w:hAnsi="宋体" w:eastAsia="宋体" w:cs="宋体"/>
      <w:b/>
      <w:bCs/>
      <w:color w:val="FF0000"/>
      <w:sz w:val="12"/>
      <w:szCs w:val="12"/>
      <w:u w:val="none"/>
    </w:rPr>
  </w:style>
  <w:style w:type="character" w:customStyle="1" w:styleId="28">
    <w:name w:val="font111"/>
    <w:basedOn w:val="16"/>
    <w:qFormat/>
    <w:uiPriority w:val="0"/>
    <w:rPr>
      <w:rFonts w:hint="eastAsia" w:ascii="宋体" w:hAnsi="宋体" w:eastAsia="宋体" w:cs="宋体"/>
      <w:b/>
      <w:bCs/>
      <w:color w:val="000000"/>
      <w:sz w:val="12"/>
      <w:szCs w:val="12"/>
      <w:u w:val="none"/>
    </w:rPr>
  </w:style>
  <w:style w:type="character" w:customStyle="1" w:styleId="29">
    <w:name w:val="font152"/>
    <w:basedOn w:val="16"/>
    <w:qFormat/>
    <w:uiPriority w:val="0"/>
    <w:rPr>
      <w:rFonts w:hint="eastAsia" w:ascii="宋体" w:hAnsi="宋体" w:eastAsia="宋体" w:cs="宋体"/>
      <w:b/>
      <w:bCs/>
      <w:color w:val="FF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1431</Words>
  <Characters>1588</Characters>
  <Lines>0</Lines>
  <Paragraphs>0</Paragraphs>
  <TotalTime>4</TotalTime>
  <ScaleCrop>false</ScaleCrop>
  <LinksUpToDate>false</LinksUpToDate>
  <CharactersWithSpaces>1653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20848</dc:creator>
  <cp:lastModifiedBy>Cooler</cp:lastModifiedBy>
  <dcterms:modified xsi:type="dcterms:W3CDTF">2026-03-30T03:02:32Z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eyJoZGlkIjoiYjFjZjJhZDdmMTBlYmY3M2M4MWJkYjRhYWRkYWVhZWIiLCJ1c2VySWQiOiIxNzEwNDE1OTUwIn0=</vt:lpwstr>
  </property>
  <property fmtid="{D5CDD505-2E9C-101B-9397-08002B2CF9AE}" pid="6" name="ICV">
    <vt:lpwstr>18F64578730444A99B58A56B87CD6606_13</vt:lpwstr>
  </property>
</Properties>
</file>