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Weekly_Ops_Review.docx</w:t>
      </w:r>
    </w:p>
    <w:p>
      <w:pPr>
        <w:pStyle w:val="Heading1"/>
      </w:pPr>
      <w:r>
        <w:t>Weekly Ops Review</w:t>
      </w:r>
    </w:p>
    <w:p>
      <w:pPr>
        <w:pStyle w:val="Heading2"/>
      </w:pPr>
      <w:r>
        <w:t>Summary</w:t>
      </w:r>
    </w:p>
    <w:p>
      <w:r>
        <w:t>This weekly operations review highlights current performance metrics against targets, identifies key areas of focus, and sets next steps to drive continuous improvement. The data-driven approach ensures alignment across teams and informs decision-making for the upcoming week.</w:t>
      </w:r>
    </w:p>
    <w:p>
      <w:pPr>
        <w:pStyle w:val="Heading2"/>
      </w:pPr>
      <w:r>
        <w:t>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Target</w:t>
            </w:r>
          </w:p>
        </w:tc>
        <w:tc>
          <w:tcPr>
            <w:tcW w:type="dxa" w:w="3360"/>
          </w:tcPr>
          <w:p>
            <w:r>
              <w:rPr>
                <w:b/>
              </w:rPr>
            </w:r>
            <w:r>
              <w:rPr>
                <w:b/>
              </w:rPr>
              <w:t>Actual</w:t>
            </w:r>
          </w:p>
        </w:tc>
      </w:tr>
      <w:tr>
        <w:tc>
          <w:tcPr>
            <w:tcW w:type="dxa" w:w="3360"/>
          </w:tcPr>
          <w:p>
            <w:r/>
            <w:r>
              <w:t>Customer Response Time</w:t>
            </w:r>
          </w:p>
        </w:tc>
        <w:tc>
          <w:tcPr>
            <w:tcW w:type="dxa" w:w="3360"/>
          </w:tcPr>
          <w:p>
            <w:r/>
            <w:r>
              <w:t>&lt; 24 hours</w:t>
            </w:r>
          </w:p>
        </w:tc>
        <w:tc>
          <w:tcPr>
            <w:tcW w:type="dxa" w:w="3360"/>
          </w:tcPr>
          <w:p>
            <w:r/>
            <w:r>
              <w:t>22 hours</w:t>
            </w:r>
          </w:p>
        </w:tc>
      </w:tr>
      <w:tr>
        <w:tc>
          <w:tcPr>
            <w:tcW w:type="dxa" w:w="3360"/>
          </w:tcPr>
          <w:p>
            <w:r/>
            <w:r>
              <w:t>System Uptime</w:t>
            </w:r>
          </w:p>
        </w:tc>
        <w:tc>
          <w:tcPr>
            <w:tcW w:type="dxa" w:w="3360"/>
          </w:tcPr>
          <w:p>
            <w:r/>
            <w:r>
              <w:t>99.9%</w:t>
            </w:r>
          </w:p>
        </w:tc>
        <w:tc>
          <w:tcPr>
            <w:tcW w:type="dxa" w:w="3360"/>
          </w:tcPr>
          <w:p>
            <w:r/>
            <w:r>
              <w:t>99.7%</w:t>
            </w:r>
          </w:p>
        </w:tc>
      </w:tr>
      <w:tr>
        <w:tc>
          <w:tcPr>
            <w:tcW w:type="dxa" w:w="3360"/>
          </w:tcPr>
          <w:p>
            <w:r/>
            <w:r>
              <w:t>Ticket Resolution Rate</w:t>
            </w:r>
          </w:p>
        </w:tc>
        <w:tc>
          <w:tcPr>
            <w:tcW w:type="dxa" w:w="3360"/>
          </w:tcPr>
          <w:p>
            <w:r/>
            <w:r>
              <w:t>90% resolved within SLA</w:t>
            </w:r>
          </w:p>
        </w:tc>
        <w:tc>
          <w:tcPr>
            <w:tcW w:type="dxa" w:w="3360"/>
          </w:tcPr>
          <w:p>
            <w:r/>
            <w:r>
              <w:t>85% resolved within SLA</w:t>
            </w:r>
          </w:p>
        </w:tc>
      </w:tr>
    </w:tbl>
    <w:p>
      <w:pPr>
        <w:pStyle w:val="Heading2"/>
      </w:pPr>
      <w:r>
        <w:t>Next Steps</w:t>
      </w:r>
    </w:p>
    <w:p>
      <w:pPr>
        <w:pStyle w:val="ListBullet"/>
      </w:pPr>
      <w:r>
        <w:t>Investigate causes for ticket resolution delays and deploy targeted training.</w:t>
      </w:r>
    </w:p>
    <w:p>
      <w:pPr>
        <w:pStyle w:val="ListBullet"/>
      </w:pPr>
      <w:r>
        <w:t>Enhance monitoring tools to maintain and improve system uptime.</w:t>
      </w:r>
    </w:p>
    <w:p>
      <w:pPr>
        <w:pStyle w:val="ListBullet"/>
      </w:pPr>
      <w:r>
        <w:t>Optimize customer support workflows to reduce response times further.</w:t>
      </w:r>
    </w:p>
    <w:p>
      <w:r>
        <w:t>---</w:t>
      </w:r>
    </w:p>
    <w:p>
      <w:r>
        <w:t>This document is designed to keep teams informed, accountable, and focused on operational excellence.</w:t>
      </w:r>
    </w:p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