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before="300" w:lineRule="auto"/>
        <w:jc w:val="center"/>
        <w:rPr>
          <w:b w:val="1"/>
          <w:bCs w:val="1"/>
          <w:color w:val="1f3864"/>
          <w:sz w:val="36"/>
          <w:szCs w:val="36"/>
        </w:rPr>
      </w:pPr>
      <w:r w:rsidDel="00000000" w:rsidR="00000000" w:rsidRPr="00000000">
        <w:rPr>
          <w:b w:val="1"/>
          <w:bCs w:val="1"/>
          <w:color w:val="1f3864"/>
          <w:sz w:val="36"/>
          <w:szCs w:val="36"/>
          <w:rtl w:val="0"/>
        </w:rPr>
        <w:t xml:space="preserve">Fusing Census and NCES Data to Identify Socioeconomic Predictors of K-12 Dropout Rates Across U.S. States</w:t>
      </w:r>
    </w:p>
    <w:p w:rsidR="00000000" w:rsidDel="00000000" w:rsidP="00000000" w:rsidRDefault="00000000" w:rsidRPr="00000000" w14:paraId="00000002">
      <w:pPr>
        <w:spacing w:after="80" w:line="240" w:lineRule="auto"/>
        <w:jc w:val="center"/>
        <w:rPr>
          <w:color w:val="595959"/>
          <w:sz w:val="20"/>
          <w:szCs w:val="20"/>
        </w:rPr>
      </w:pPr>
      <w:r w:rsidDel="00000000" w:rsidR="00000000" w:rsidRPr="00000000">
        <w:rPr>
          <w:color w:val="595959"/>
          <w:sz w:val="20"/>
          <w:szCs w:val="20"/>
          <w:rtl w:val="0"/>
        </w:rPr>
        <w:t xml:space="preserve">CIS 635: Knowledge Discovery and Data Mining  |  Grand Valley State University  |  April 2026</w:t>
      </w:r>
    </w:p>
    <w:p w:rsidR="00000000" w:rsidDel="00000000" w:rsidP="00000000" w:rsidRDefault="00000000" w:rsidRPr="00000000" w14:paraId="00000003">
      <w:pPr>
        <w:spacing w:after="80" w:line="240" w:lineRule="auto"/>
        <w:jc w:val="center"/>
        <w:rPr>
          <w:color w:val="595959"/>
          <w:sz w:val="20"/>
          <w:szCs w:val="20"/>
        </w:rPr>
      </w:pPr>
      <w:r w:rsidDel="00000000" w:rsidR="00000000" w:rsidRPr="00000000">
        <w:rPr>
          <w:color w:val="595959"/>
          <w:sz w:val="20"/>
          <w:szCs w:val="20"/>
          <w:rtl w:val="0"/>
        </w:rPr>
        <w:t xml:space="preserve">Repository Link: https://github.com/coolingj-gvsu/CIS635-Final-Project</w:t>
      </w:r>
    </w:p>
    <w:p w:rsidR="00000000" w:rsidDel="00000000" w:rsidP="00000000" w:rsidRDefault="00000000" w:rsidRPr="00000000" w14:paraId="00000004">
      <w:pPr>
        <w:spacing w:after="320" w:line="240" w:lineRule="auto"/>
        <w:jc w:val="center"/>
        <w:rPr>
          <w:i w:val="1"/>
          <w:iCs w:val="1"/>
          <w:color w:val="595959"/>
          <w:sz w:val="20"/>
          <w:szCs w:val="20"/>
        </w:rPr>
      </w:pPr>
      <w:r w:rsidDel="00000000" w:rsidR="00000000" w:rsidRPr="00000000">
        <w:rPr>
          <w:i w:val="1"/>
          <w:iCs w:val="1"/>
          <w:color w:val="595959"/>
          <w:sz w:val="20"/>
          <w:szCs w:val="20"/>
          <w:rtl w:val="0"/>
        </w:rPr>
        <w:t xml:space="preserve">Team: Morgan Hamlin, Joshua Cooling</w:t>
      </w:r>
      <w:r w:rsidDel="00000000" w:rsidR="00000000" w:rsidRPr="00000000">
        <w:rPr>
          <w:b w:val="1"/>
          <w:bCs w:val="1"/>
          <w:i w:val="1"/>
          <w:iCs w:val="1"/>
          <w:color w:val="595959"/>
          <w:sz w:val="20"/>
          <w:szCs w:val="20"/>
          <w:rtl w:val="0"/>
        </w:rPr>
        <w:t xml:space="preserve">, </w:t>
      </w:r>
      <w:r w:rsidDel="00000000" w:rsidR="00000000" w:rsidRPr="00000000">
        <w:rPr>
          <w:i w:val="1"/>
          <w:iCs w:val="1"/>
          <w:color w:val="595959"/>
          <w:sz w:val="20"/>
          <w:szCs w:val="20"/>
          <w:rtl w:val="0"/>
        </w:rPr>
        <w:t xml:space="preserve">Payton Wilder, Zhiyan Chen</w:t>
      </w:r>
    </w:p>
    <w:p w:rsidR="00000000" w:rsidDel="00000000" w:rsidP="00000000" w:rsidRDefault="00000000" w:rsidRPr="00000000" w14:paraId="00000005">
      <w:pPr>
        <w:spacing w:after="120" w:before="300" w:lineRule="auto"/>
        <w:rPr>
          <w:b w:val="1"/>
          <w:bCs w:val="1"/>
          <w:sz w:val="38"/>
          <w:szCs w:val="38"/>
        </w:rPr>
      </w:pPr>
      <w:r w:rsidDel="00000000" w:rsidR="00000000" w:rsidRPr="00000000">
        <w:rPr>
          <w:b w:val="1"/>
          <w:bCs w:val="1"/>
          <w:color w:val="1f3864"/>
          <w:sz w:val="28"/>
          <w:szCs w:val="28"/>
          <w:rtl w:val="0"/>
        </w:rPr>
        <w:t xml:space="preserve">Abstract </w:t>
      </w:r>
      <w:r w:rsidDel="00000000" w:rsidR="00000000" w:rsidRPr="00000000">
        <w:rPr>
          <w:rtl w:val="0"/>
        </w:rPr>
      </w:r>
    </w:p>
    <w:p w:rsidR="00000000" w:rsidDel="00000000" w:rsidP="00000000" w:rsidRDefault="00000000" w:rsidRPr="00000000" w14:paraId="00000006">
      <w:pPr>
        <w:spacing w:after="160" w:before="240" w:lineRule="auto"/>
        <w:jc w:val="both"/>
        <w:rPr>
          <w:sz w:val="24"/>
          <w:szCs w:val="24"/>
        </w:rPr>
      </w:pPr>
      <w:r w:rsidDel="00000000" w:rsidR="00000000" w:rsidRPr="00000000">
        <w:rPr>
          <w:sz w:val="24"/>
          <w:szCs w:val="24"/>
          <w:rtl w:val="0"/>
        </w:rPr>
        <w:t xml:space="preserve">Our study investigates whether state-level and county-level socioeconomic indicators derived from the U.S. Census Bureau American Community Survey (ACS) can predict K-12 student dropout rates reported by the National Center for Education Statistics (NCES). The primary analysis focuses on the district-level fused dataset constructed using the NCES EDGE geographic crosswalk, which links NCES school districts to county-level Census socioeconomic indicators, resulting in approximately 19,500 districts for analysis in the 2022-2023 academic year. </w:t>
      </w:r>
    </w:p>
    <w:p w:rsidR="00000000" w:rsidDel="00000000" w:rsidP="00000000" w:rsidRDefault="00000000" w:rsidRPr="00000000" w14:paraId="00000007">
      <w:pPr>
        <w:spacing w:after="160" w:before="240" w:lineRule="auto"/>
        <w:jc w:val="both"/>
        <w:rPr>
          <w:sz w:val="24"/>
          <w:szCs w:val="24"/>
        </w:rPr>
      </w:pPr>
      <w:r w:rsidDel="00000000" w:rsidR="00000000" w:rsidRPr="00000000">
        <w:rPr>
          <w:sz w:val="24"/>
          <w:szCs w:val="24"/>
          <w:rtl w:val="0"/>
        </w:rPr>
        <w:t xml:space="preserve">We evaluate multiple linear regression approaches, including linear regression, a baseline mean prediction model, and Random Forest regression. Across all models, predictive performance remains extremely weak (R² = 0.01 for linear models, near-zero generalization performance for Random Forest), indicating that county-level socioeconomic aggregates alone are insufficient to explain district-level dropout variation. We also construct a state-level aggregate dataset (52 observations) as a secondary baseline comparison, which similarly shows limited explanatory power (R²=0.19 for linear regression), but this result is not directly compatible due to differences in aggregation level and sample size. We discuss limitations of geographic aggregation and modeling scope, and propose district-level feature expansion as future work. </w:t>
      </w:r>
      <w:r w:rsidDel="00000000" w:rsidR="00000000" w:rsidRPr="00000000">
        <w:rPr>
          <w:rtl w:val="0"/>
        </w:rPr>
      </w:r>
    </w:p>
    <w:p w:rsidR="00000000" w:rsidDel="00000000" w:rsidP="00000000" w:rsidRDefault="00000000" w:rsidRPr="00000000" w14:paraId="00000008">
      <w:pPr>
        <w:spacing w:after="120" w:before="300" w:lineRule="auto"/>
        <w:rPr>
          <w:b w:val="1"/>
          <w:bCs w:val="1"/>
          <w:color w:val="1f3864"/>
          <w:sz w:val="28"/>
          <w:szCs w:val="28"/>
        </w:rPr>
      </w:pPr>
      <w:r w:rsidDel="00000000" w:rsidR="00000000" w:rsidRPr="00000000">
        <w:rPr>
          <w:b w:val="1"/>
          <w:bCs w:val="1"/>
          <w:color w:val="1f3864"/>
          <w:sz w:val="28"/>
          <w:szCs w:val="28"/>
          <w:rtl w:val="0"/>
        </w:rPr>
        <w:t xml:space="preserve">1. Introduction &amp; Problem Statement </w:t>
      </w:r>
    </w:p>
    <w:p w:rsidR="00000000" w:rsidDel="00000000" w:rsidP="00000000" w:rsidRDefault="00000000" w:rsidRPr="00000000" w14:paraId="00000009">
      <w:pPr>
        <w:spacing w:after="160" w:before="240" w:lineRule="auto"/>
        <w:jc w:val="both"/>
        <w:rPr>
          <w:sz w:val="24"/>
          <w:szCs w:val="24"/>
        </w:rPr>
      </w:pPr>
      <w:r w:rsidDel="00000000" w:rsidR="00000000" w:rsidRPr="00000000">
        <w:rPr>
          <w:sz w:val="24"/>
          <w:szCs w:val="24"/>
          <w:rtl w:val="0"/>
        </w:rPr>
        <w:t xml:space="preserve">The United States faces a persistent K-12 dropout crisis with significant economic and social consequences. Students who do not complete high school earn substantially less over their lifetimes, are more likely to experience unemployment, and face higher rates of incarceration compared to graduates. While demographic research has consistently linked socioeconomic conditions to educational outcomes, operationalizing these relationships at scale using publicly available government data remains a challenge for researchers and policymakers alike.</w:t>
      </w:r>
    </w:p>
    <w:p w:rsidR="00000000" w:rsidDel="00000000" w:rsidP="00000000" w:rsidRDefault="00000000" w:rsidRPr="00000000" w14:paraId="0000000A">
      <w:pPr>
        <w:spacing w:after="160" w:before="240" w:lineRule="auto"/>
        <w:jc w:val="both"/>
        <w:rPr>
          <w:sz w:val="24"/>
          <w:szCs w:val="24"/>
        </w:rPr>
      </w:pPr>
      <w:r w:rsidDel="00000000" w:rsidR="00000000" w:rsidRPr="00000000">
        <w:rPr>
          <w:sz w:val="24"/>
          <w:szCs w:val="24"/>
          <w:rtl w:val="0"/>
        </w:rPr>
        <w:t xml:space="preserve">Our project is situated within the broader question of how socioeconomic factors shape graduation and dropout outcomes. A full investigation of this question would require district-level data on poverty, income, parental education, unemployment, urbanity, district size, and regional context. This study addresses two of these questions directly, with the remaining questions deferred to future work pending district-level data fusion.</w:t>
      </w:r>
    </w:p>
    <w:p w:rsidR="00000000" w:rsidDel="00000000" w:rsidP="00000000" w:rsidRDefault="00000000" w:rsidRPr="00000000" w14:paraId="0000000B">
      <w:pPr>
        <w:spacing w:after="160" w:before="240" w:lineRule="auto"/>
        <w:jc w:val="both"/>
        <w:rPr>
          <w:sz w:val="24"/>
          <w:szCs w:val="24"/>
        </w:rPr>
      </w:pPr>
      <w:r w:rsidDel="00000000" w:rsidR="00000000" w:rsidRPr="00000000">
        <w:rPr>
          <w:sz w:val="24"/>
          <w:szCs w:val="24"/>
          <w:rtl w:val="0"/>
        </w:rPr>
        <w:t xml:space="preserve">This project directly addresses the following two research questions:</w:t>
      </w:r>
    </w:p>
    <w:p w:rsidR="00000000" w:rsidDel="00000000" w:rsidP="00000000" w:rsidRDefault="00000000" w:rsidRPr="00000000" w14:paraId="0000000C">
      <w:pPr>
        <w:numPr>
          <w:ilvl w:val="0"/>
          <w:numId w:val="5"/>
        </w:numPr>
        <w:spacing w:after="0" w:afterAutospacing="0" w:before="240" w:lineRule="auto"/>
        <w:ind w:left="720" w:hanging="360"/>
        <w:jc w:val="both"/>
        <w:rPr>
          <w:sz w:val="24"/>
          <w:szCs w:val="24"/>
        </w:rPr>
      </w:pPr>
      <w:r w:rsidDel="00000000" w:rsidR="00000000" w:rsidRPr="00000000">
        <w:rPr>
          <w:sz w:val="24"/>
          <w:szCs w:val="24"/>
          <w:rtl w:val="0"/>
        </w:rPr>
        <w:t xml:space="preserve">Is the poverty rate significantly correlated with K-12 dropout rates at the state level? We test whether counties and states with higher poverty rates produce higher district-level dropout rates after aggregation.</w:t>
      </w:r>
    </w:p>
    <w:p w:rsidR="00000000" w:rsidDel="00000000" w:rsidP="00000000" w:rsidRDefault="00000000" w:rsidRPr="00000000" w14:paraId="0000000D">
      <w:pPr>
        <w:numPr>
          <w:ilvl w:val="0"/>
          <w:numId w:val="5"/>
        </w:numPr>
        <w:spacing w:after="160" w:before="0" w:beforeAutospacing="0" w:lineRule="auto"/>
        <w:ind w:left="720" w:hanging="360"/>
        <w:jc w:val="both"/>
        <w:rPr>
          <w:sz w:val="24"/>
          <w:szCs w:val="24"/>
        </w:rPr>
      </w:pPr>
      <w:r w:rsidDel="00000000" w:rsidR="00000000" w:rsidRPr="00000000">
        <w:rPr>
          <w:sz w:val="24"/>
          <w:szCs w:val="24"/>
          <w:rtl w:val="0"/>
        </w:rPr>
        <w:t xml:space="preserve">Does parental education level predict dropout outcomes more strongly than household income? This directly tests whether the community education context outweighs income as a predictor. </w:t>
      </w:r>
    </w:p>
    <w:p w:rsidR="00000000" w:rsidDel="00000000" w:rsidP="00000000" w:rsidRDefault="00000000" w:rsidRPr="00000000" w14:paraId="0000000E">
      <w:pPr>
        <w:spacing w:after="160" w:before="240" w:lineRule="auto"/>
        <w:ind w:left="0" w:firstLine="0"/>
        <w:jc w:val="both"/>
        <w:rPr>
          <w:sz w:val="24"/>
          <w:szCs w:val="24"/>
        </w:rPr>
      </w:pPr>
      <w:r w:rsidDel="00000000" w:rsidR="00000000" w:rsidRPr="00000000">
        <w:rPr>
          <w:sz w:val="24"/>
          <w:szCs w:val="24"/>
          <w:rtl w:val="0"/>
        </w:rPr>
        <w:t xml:space="preserve">The following research questions were identified as important but could not be addressed with the current state-level dataset. They are documented here as a motivation for future work.</w:t>
      </w:r>
    </w:p>
    <w:p w:rsidR="00000000" w:rsidDel="00000000" w:rsidP="00000000" w:rsidRDefault="00000000" w:rsidRPr="00000000" w14:paraId="0000000F">
      <w:pPr>
        <w:numPr>
          <w:ilvl w:val="0"/>
          <w:numId w:val="5"/>
        </w:numPr>
        <w:spacing w:after="0" w:afterAutospacing="0" w:before="240" w:lineRule="auto"/>
        <w:ind w:left="720" w:hanging="360"/>
        <w:jc w:val="both"/>
        <w:rPr>
          <w:sz w:val="24"/>
          <w:szCs w:val="24"/>
        </w:rPr>
      </w:pPr>
      <w:r w:rsidDel="00000000" w:rsidR="00000000" w:rsidRPr="00000000">
        <w:rPr>
          <w:sz w:val="24"/>
          <w:szCs w:val="24"/>
          <w:rtl w:val="0"/>
        </w:rPr>
        <w:t xml:space="preserve">Are rural districts more sensitive to socioeconomic disadvantage than urban districts? </w:t>
      </w:r>
    </w:p>
    <w:p w:rsidR="00000000" w:rsidDel="00000000" w:rsidP="00000000" w:rsidRDefault="00000000" w:rsidRPr="00000000" w14:paraId="00000010">
      <w:pPr>
        <w:numPr>
          <w:ilvl w:val="0"/>
          <w:numId w:val="5"/>
        </w:numPr>
        <w:spacing w:after="0" w:afterAutospacing="0" w:before="0" w:beforeAutospacing="0" w:lineRule="auto"/>
        <w:ind w:left="720" w:hanging="360"/>
        <w:jc w:val="both"/>
        <w:rPr>
          <w:sz w:val="24"/>
          <w:szCs w:val="24"/>
        </w:rPr>
      </w:pPr>
      <w:r w:rsidDel="00000000" w:rsidR="00000000" w:rsidRPr="00000000">
        <w:rPr>
          <w:sz w:val="24"/>
          <w:szCs w:val="24"/>
          <w:rtl w:val="0"/>
        </w:rPr>
        <w:t xml:space="preserve">Are districts with higher unemployment rates more likely to have lower graduation rates?</w:t>
      </w:r>
    </w:p>
    <w:p w:rsidR="00000000" w:rsidDel="00000000" w:rsidP="00000000" w:rsidRDefault="00000000" w:rsidRPr="00000000" w14:paraId="00000011">
      <w:pPr>
        <w:numPr>
          <w:ilvl w:val="0"/>
          <w:numId w:val="5"/>
        </w:numPr>
        <w:spacing w:after="0" w:afterAutospacing="0" w:before="0" w:beforeAutospacing="0" w:lineRule="auto"/>
        <w:ind w:left="720" w:hanging="360"/>
        <w:jc w:val="both"/>
        <w:rPr>
          <w:sz w:val="24"/>
          <w:szCs w:val="24"/>
        </w:rPr>
      </w:pPr>
      <w:r w:rsidDel="00000000" w:rsidR="00000000" w:rsidRPr="00000000">
        <w:rPr>
          <w:sz w:val="24"/>
          <w:szCs w:val="24"/>
          <w:rtl w:val="0"/>
        </w:rPr>
        <w:t xml:space="preserve">Are socioeconomic effects greater in small districts?</w:t>
      </w:r>
    </w:p>
    <w:p w:rsidR="00000000" w:rsidDel="00000000" w:rsidP="00000000" w:rsidRDefault="00000000" w:rsidRPr="00000000" w14:paraId="00000012">
      <w:pPr>
        <w:numPr>
          <w:ilvl w:val="0"/>
          <w:numId w:val="5"/>
        </w:numPr>
        <w:spacing w:after="160" w:before="0" w:beforeAutospacing="0" w:lineRule="auto"/>
        <w:ind w:left="720" w:hanging="360"/>
        <w:jc w:val="both"/>
        <w:rPr>
          <w:sz w:val="24"/>
          <w:szCs w:val="24"/>
        </w:rPr>
      </w:pPr>
      <w:r w:rsidDel="00000000" w:rsidR="00000000" w:rsidRPr="00000000">
        <w:rPr>
          <w:sz w:val="24"/>
          <w:szCs w:val="24"/>
          <w:rtl w:val="0"/>
        </w:rPr>
        <w:t xml:space="preserve">Are there regional differences in graduation rates among states with similar socioeconomic profiles?</w:t>
      </w:r>
    </w:p>
    <w:p w:rsidR="00000000" w:rsidDel="00000000" w:rsidP="00000000" w:rsidRDefault="00000000" w:rsidRPr="00000000" w14:paraId="00000013">
      <w:pPr>
        <w:spacing w:after="160" w:before="240" w:lineRule="auto"/>
        <w:ind w:left="0" w:firstLine="0"/>
        <w:jc w:val="both"/>
        <w:rPr>
          <w:sz w:val="24"/>
          <w:szCs w:val="24"/>
        </w:rPr>
      </w:pPr>
      <w:r w:rsidDel="00000000" w:rsidR="00000000" w:rsidRPr="00000000">
        <w:rPr>
          <w:sz w:val="24"/>
          <w:szCs w:val="24"/>
          <w:rtl w:val="0"/>
        </w:rPr>
        <w:t xml:space="preserve">Answering research questions one and two required fusing two heterogeneous federal datasets, the Census Bureau’s ACS and the NCES CCD, which present different geographic identifiers like county vs. district, along with different collection methodologies. This data fusion challenge was the core contribution of our work, which mirrors real-world barriers that prevent education researchers from leveraging the full capabilities of available public data.  </w:t>
      </w:r>
    </w:p>
    <w:p w:rsidR="00000000" w:rsidDel="00000000" w:rsidP="00000000" w:rsidRDefault="00000000" w:rsidRPr="00000000" w14:paraId="00000014">
      <w:pPr>
        <w:spacing w:after="120" w:before="300" w:lineRule="auto"/>
        <w:rPr>
          <w:b w:val="1"/>
          <w:bCs w:val="1"/>
          <w:color w:val="1f3864"/>
          <w:sz w:val="28"/>
          <w:szCs w:val="28"/>
        </w:rPr>
      </w:pPr>
      <w:r w:rsidDel="00000000" w:rsidR="00000000" w:rsidRPr="00000000">
        <w:rPr>
          <w:b w:val="1"/>
          <w:bCs w:val="1"/>
          <w:color w:val="1f3864"/>
          <w:sz w:val="28"/>
          <w:szCs w:val="28"/>
          <w:rtl w:val="0"/>
        </w:rPr>
        <w:t xml:space="preserve">2. Related Work </w:t>
      </w:r>
    </w:p>
    <w:p w:rsidR="00000000" w:rsidDel="00000000" w:rsidP="00000000" w:rsidRDefault="00000000" w:rsidRPr="00000000" w14:paraId="00000015">
      <w:pPr>
        <w:spacing w:after="160" w:before="240" w:lineRule="auto"/>
        <w:jc w:val="both"/>
        <w:rPr>
          <w:sz w:val="24"/>
          <w:szCs w:val="24"/>
        </w:rPr>
      </w:pPr>
      <w:r w:rsidDel="00000000" w:rsidR="00000000" w:rsidRPr="00000000">
        <w:rPr>
          <w:sz w:val="24"/>
          <w:szCs w:val="24"/>
          <w:rtl w:val="0"/>
        </w:rPr>
        <w:t xml:space="preserve">Our literature review centered on a systematic review of Explainable Learning Analytics (XLA) and Educational Data Mining (EDM) published on ResearchGate (2024). This survey catalogued over 50 studies applying machine learning and statistical modeling to educational outcomes, consistently finding that socioeconomic variables such as family income, parental education, and school funding are among the most predictive features for student success and dropout risk.</w:t>
      </w:r>
    </w:p>
    <w:p w:rsidR="00000000" w:rsidDel="00000000" w:rsidP="00000000" w:rsidRDefault="00000000" w:rsidRPr="00000000" w14:paraId="00000016">
      <w:pPr>
        <w:spacing w:after="120" w:before="300" w:lineRule="auto"/>
        <w:rPr>
          <w:sz w:val="24"/>
          <w:szCs w:val="24"/>
        </w:rPr>
      </w:pPr>
      <w:r w:rsidDel="00000000" w:rsidR="00000000" w:rsidRPr="00000000">
        <w:rPr>
          <w:sz w:val="24"/>
          <w:szCs w:val="24"/>
          <w:rtl w:val="0"/>
        </w:rPr>
        <w:t xml:space="preserve">Relevant prior work includes studies that used NCES CCD data to identify at-risk districts and Census ACS data to characterize community-level disadvantage. However, few studies have explicitly fused these two sources at scale </w:t>
      </w:r>
    </w:p>
    <w:p w:rsidR="00000000" w:rsidDel="00000000" w:rsidP="00000000" w:rsidRDefault="00000000" w:rsidRPr="00000000" w14:paraId="00000017">
      <w:pPr>
        <w:spacing w:after="120" w:before="300" w:lineRule="auto"/>
        <w:rPr>
          <w:sz w:val="24"/>
          <w:szCs w:val="24"/>
        </w:rPr>
      </w:pPr>
      <w:r w:rsidDel="00000000" w:rsidR="00000000" w:rsidRPr="00000000">
        <w:rPr>
          <w:sz w:val="24"/>
          <w:szCs w:val="24"/>
          <w:rtl w:val="0"/>
        </w:rPr>
        <w:t xml:space="preserve">We chose linear regression over more complex models (e.g., gradient boosting, neural networks) deliberately; we wanted actionable insights for the educational policy context, and further exploratory studies. </w:t>
      </w:r>
      <w:r w:rsidDel="00000000" w:rsidR="00000000" w:rsidRPr="00000000">
        <w:rPr>
          <w:rtl w:val="0"/>
        </w:rPr>
      </w:r>
    </w:p>
    <w:p w:rsidR="00000000" w:rsidDel="00000000" w:rsidP="00000000" w:rsidRDefault="00000000" w:rsidRPr="00000000" w14:paraId="00000018">
      <w:pPr>
        <w:spacing w:after="120" w:before="300" w:lineRule="auto"/>
        <w:rPr>
          <w:b w:val="1"/>
          <w:bCs w:val="1"/>
          <w:color w:val="1f3864"/>
          <w:sz w:val="28"/>
          <w:szCs w:val="28"/>
        </w:rPr>
      </w:pPr>
      <w:r w:rsidDel="00000000" w:rsidR="00000000" w:rsidRPr="00000000">
        <w:rPr>
          <w:b w:val="1"/>
          <w:bCs w:val="1"/>
          <w:color w:val="1f3864"/>
          <w:sz w:val="28"/>
          <w:szCs w:val="28"/>
          <w:rtl w:val="0"/>
        </w:rPr>
        <w:t xml:space="preserve">3. Methodology</w:t>
      </w:r>
    </w:p>
    <w:p w:rsidR="00000000" w:rsidDel="00000000" w:rsidP="00000000" w:rsidRDefault="00000000" w:rsidRPr="00000000" w14:paraId="00000019">
      <w:pPr>
        <w:spacing w:after="120" w:before="300" w:lineRule="auto"/>
        <w:rPr>
          <w:b w:val="1"/>
          <w:bCs w:val="1"/>
          <w:color w:val="3d85c6"/>
          <w:sz w:val="24"/>
          <w:szCs w:val="24"/>
        </w:rPr>
      </w:pPr>
      <w:r w:rsidDel="00000000" w:rsidR="00000000" w:rsidRPr="00000000">
        <w:rPr>
          <w:b w:val="1"/>
          <w:bCs w:val="1"/>
          <w:color w:val="3d85c6"/>
          <w:sz w:val="24"/>
          <w:szCs w:val="24"/>
          <w:rtl w:val="0"/>
        </w:rPr>
        <w:t xml:space="preserve">3.1 Data Sources</w:t>
      </w:r>
    </w:p>
    <w:p w:rsidR="00000000" w:rsidDel="00000000" w:rsidP="00000000" w:rsidRDefault="00000000" w:rsidRPr="00000000" w14:paraId="0000001A">
      <w:pPr>
        <w:spacing w:after="120" w:before="300" w:lineRule="auto"/>
        <w:rPr>
          <w:sz w:val="24"/>
          <w:szCs w:val="24"/>
        </w:rPr>
      </w:pPr>
      <w:r w:rsidDel="00000000" w:rsidR="00000000" w:rsidRPr="00000000">
        <w:rPr>
          <w:rtl w:val="0"/>
        </w:rPr>
        <w:t xml:space="preserve">W</w:t>
      </w:r>
      <w:r w:rsidDel="00000000" w:rsidR="00000000" w:rsidRPr="00000000">
        <w:rPr>
          <w:sz w:val="24"/>
          <w:szCs w:val="24"/>
          <w:rtl w:val="0"/>
        </w:rPr>
        <w:t xml:space="preserve">e used two primary data sources:</w:t>
      </w:r>
    </w:p>
    <w:p w:rsidR="00000000" w:rsidDel="00000000" w:rsidP="00000000" w:rsidRDefault="00000000" w:rsidRPr="00000000" w14:paraId="0000001B">
      <w:pPr>
        <w:numPr>
          <w:ilvl w:val="0"/>
          <w:numId w:val="2"/>
        </w:numPr>
        <w:spacing w:after="0" w:afterAutospacing="0" w:before="300" w:lineRule="auto"/>
        <w:ind w:left="720" w:hanging="360"/>
        <w:rPr>
          <w:b w:val="1"/>
          <w:bCs w:val="1"/>
          <w:sz w:val="24"/>
          <w:szCs w:val="24"/>
          <w:u w:val="none"/>
        </w:rPr>
      </w:pPr>
      <w:r w:rsidDel="00000000" w:rsidR="00000000" w:rsidRPr="00000000">
        <w:rPr>
          <w:b w:val="1"/>
          <w:bCs w:val="1"/>
          <w:sz w:val="24"/>
          <w:szCs w:val="24"/>
          <w:rtl w:val="0"/>
        </w:rPr>
        <w:t xml:space="preserve">Census AC 5-Year Estimates (2023):</w:t>
      </w:r>
      <w:r w:rsidDel="00000000" w:rsidR="00000000" w:rsidRPr="00000000">
        <w:rPr>
          <w:sz w:val="24"/>
          <w:szCs w:val="24"/>
          <w:rtl w:val="0"/>
        </w:rPr>
        <w:t xml:space="preserve"> Retrieved via the Census Bureau API at the county level (n=3,222 countries). Variables extracted: poverty rate (S1707), median household income (S1901), and bachelor’s degree attainment rate (S1501).</w:t>
      </w:r>
    </w:p>
    <w:p w:rsidR="00000000" w:rsidDel="00000000" w:rsidP="00000000" w:rsidRDefault="00000000" w:rsidRPr="00000000" w14:paraId="0000001C">
      <w:pPr>
        <w:numPr>
          <w:ilvl w:val="0"/>
          <w:numId w:val="2"/>
        </w:numPr>
        <w:spacing w:after="120" w:before="0" w:beforeAutospacing="0" w:lineRule="auto"/>
        <w:ind w:left="720" w:hanging="360"/>
        <w:rPr>
          <w:b w:val="1"/>
          <w:bCs w:val="1"/>
          <w:sz w:val="24"/>
          <w:szCs w:val="24"/>
          <w:u w:val="none"/>
        </w:rPr>
      </w:pPr>
      <w:r w:rsidDel="00000000" w:rsidR="00000000" w:rsidRPr="00000000">
        <w:rPr>
          <w:b w:val="1"/>
          <w:bCs w:val="1"/>
          <w:sz w:val="24"/>
          <w:szCs w:val="24"/>
          <w:rtl w:val="0"/>
        </w:rPr>
        <w:t xml:space="preserve">NCES Common Core of Data (2022-2023): </w:t>
      </w:r>
      <w:r w:rsidDel="00000000" w:rsidR="00000000" w:rsidRPr="00000000">
        <w:rPr>
          <w:sz w:val="24"/>
          <w:szCs w:val="24"/>
          <w:rtl w:val="0"/>
        </w:rPr>
        <w:t xml:space="preserve">Three district-level files downloaded from nces.ed.gov</w:t>
      </w:r>
    </w:p>
    <w:p w:rsidR="00000000" w:rsidDel="00000000" w:rsidP="00000000" w:rsidRDefault="00000000" w:rsidRPr="00000000" w14:paraId="0000001D">
      <w:pPr>
        <w:spacing w:after="120" w:before="300" w:lineRule="auto"/>
        <w:rPr>
          <w:b w:val="1"/>
          <w:bCs w:val="1"/>
          <w:color w:val="3d85c6"/>
          <w:sz w:val="24"/>
          <w:szCs w:val="24"/>
        </w:rPr>
      </w:pPr>
      <w:r w:rsidDel="00000000" w:rsidR="00000000" w:rsidRPr="00000000">
        <w:rPr>
          <w:b w:val="1"/>
          <w:bCs w:val="1"/>
          <w:color w:val="3d85c6"/>
          <w:sz w:val="24"/>
          <w:szCs w:val="24"/>
          <w:rtl w:val="0"/>
        </w:rPr>
        <w:t xml:space="preserve">3.2 Data Fusion Pipeline</w:t>
      </w:r>
    </w:p>
    <w:p w:rsidR="00000000" w:rsidDel="00000000" w:rsidP="00000000" w:rsidRDefault="00000000" w:rsidRPr="00000000" w14:paraId="0000001E">
      <w:pPr>
        <w:spacing w:after="160" w:before="240" w:lineRule="auto"/>
        <w:jc w:val="both"/>
        <w:rPr>
          <w:sz w:val="24"/>
          <w:szCs w:val="24"/>
        </w:rPr>
      </w:pPr>
      <w:r w:rsidDel="00000000" w:rsidR="00000000" w:rsidRPr="00000000">
        <w:rPr>
          <w:sz w:val="24"/>
          <w:szCs w:val="24"/>
          <w:rtl w:val="0"/>
        </w:rPr>
        <w:t xml:space="preserve">The primary challenge was the mismatch between Census data (county level) and NCES data (school district level). NCES district files do not contain county FIPS codes, preventing a direct county-to-district join. We evaluated two fusion strategies: </w:t>
      </w:r>
    </w:p>
    <w:p w:rsidR="00000000" w:rsidDel="00000000" w:rsidP="00000000" w:rsidRDefault="00000000" w:rsidRPr="00000000" w14:paraId="0000001F">
      <w:pPr>
        <w:numPr>
          <w:ilvl w:val="0"/>
          <w:numId w:val="3"/>
        </w:numPr>
        <w:spacing w:after="160" w:before="240" w:lineRule="auto"/>
        <w:ind w:left="720" w:hanging="360"/>
        <w:jc w:val="both"/>
        <w:rPr>
          <w:sz w:val="24"/>
          <w:szCs w:val="24"/>
          <w:u w:val="none"/>
        </w:rPr>
      </w:pPr>
      <w:r w:rsidDel="00000000" w:rsidR="00000000" w:rsidRPr="00000000">
        <w:rPr>
          <w:sz w:val="24"/>
          <w:szCs w:val="24"/>
          <w:rtl w:val="0"/>
        </w:rPr>
        <w:t xml:space="preserve">Option A: (Main pipeline - District-level Fusion using EGE):</w:t>
      </w:r>
    </w:p>
    <w:p w:rsidR="00000000" w:rsidDel="00000000" w:rsidP="00000000" w:rsidRDefault="00000000" w:rsidRPr="00000000" w14:paraId="00000020">
      <w:pPr>
        <w:spacing w:after="160" w:before="240" w:lineRule="auto"/>
        <w:ind w:left="720" w:firstLine="0"/>
        <w:jc w:val="both"/>
        <w:rPr>
          <w:sz w:val="24"/>
          <w:szCs w:val="24"/>
        </w:rPr>
      </w:pPr>
      <w:r w:rsidDel="00000000" w:rsidR="00000000" w:rsidRPr="00000000">
        <w:rPr>
          <w:sz w:val="24"/>
          <w:szCs w:val="24"/>
          <w:rtl w:val="0"/>
        </w:rPr>
        <w:t xml:space="preserve">We used the NCES EDGE Public School District Geocode file as a crosswalk to map LEAID to county identifiers. This allowed us to assign county FIPS codes to each district by combining state and county codes. After this step, we merged NCES district-level outcomes with Census county-level socioeconomic variables (poverty rate, median income, bachelor’s degree attainment), producing a final fused dataset of approximately 19,528 districts.</w:t>
      </w:r>
    </w:p>
    <w:p w:rsidR="00000000" w:rsidDel="00000000" w:rsidP="00000000" w:rsidRDefault="00000000" w:rsidRPr="00000000" w14:paraId="00000021">
      <w:pPr>
        <w:numPr>
          <w:ilvl w:val="0"/>
          <w:numId w:val="4"/>
        </w:numPr>
        <w:spacing w:after="160" w:before="240" w:lineRule="auto"/>
        <w:ind w:left="720" w:hanging="360"/>
        <w:jc w:val="both"/>
        <w:rPr>
          <w:sz w:val="24"/>
          <w:szCs w:val="24"/>
          <w:u w:val="none"/>
        </w:rPr>
      </w:pPr>
      <w:r w:rsidDel="00000000" w:rsidR="00000000" w:rsidRPr="00000000">
        <w:rPr>
          <w:sz w:val="24"/>
          <w:szCs w:val="24"/>
          <w:rtl w:val="0"/>
        </w:rPr>
        <w:t xml:space="preserve">Option B (Baseline Comparison - State-level Aggregation):</w:t>
      </w:r>
    </w:p>
    <w:p w:rsidR="00000000" w:rsidDel="00000000" w:rsidP="00000000" w:rsidRDefault="00000000" w:rsidRPr="00000000" w14:paraId="00000022">
      <w:pPr>
        <w:spacing w:after="160" w:before="240" w:lineRule="auto"/>
        <w:ind w:left="720" w:firstLine="0"/>
        <w:jc w:val="both"/>
        <w:rPr>
          <w:sz w:val="24"/>
          <w:szCs w:val="24"/>
        </w:rPr>
      </w:pPr>
      <w:r w:rsidDel="00000000" w:rsidR="00000000" w:rsidRPr="00000000">
        <w:rPr>
          <w:sz w:val="24"/>
          <w:szCs w:val="24"/>
          <w:rtl w:val="0"/>
        </w:rPr>
        <w:t xml:space="preserve">We also constructed a state-level dataset by aggregating both datasets to the state level using the two-digit state FIPS code (FIPST) as the shared merge key, yielding 52 observations (50 states + DC + one territory). </w:t>
      </w:r>
    </w:p>
    <w:p w:rsidR="00000000" w:rsidDel="00000000" w:rsidP="00000000" w:rsidRDefault="00000000" w:rsidRPr="00000000" w14:paraId="00000023">
      <w:pPr>
        <w:spacing w:after="160" w:before="240" w:lineRule="auto"/>
        <w:ind w:left="0" w:firstLine="0"/>
        <w:jc w:val="both"/>
        <w:rPr>
          <w:color w:val="3d85c6"/>
          <w:sz w:val="24"/>
          <w:szCs w:val="24"/>
        </w:rPr>
      </w:pPr>
      <w:r w:rsidDel="00000000" w:rsidR="00000000" w:rsidRPr="00000000">
        <w:rPr>
          <w:sz w:val="24"/>
          <w:szCs w:val="24"/>
          <w:rtl w:val="0"/>
        </w:rPr>
        <w:t xml:space="preserve">Additional Computing</w:t>
      </w:r>
      <w:r w:rsidDel="00000000" w:rsidR="00000000" w:rsidRPr="00000000">
        <w:rPr>
          <w:b w:val="1"/>
          <w:bCs w:val="1"/>
          <w:sz w:val="24"/>
          <w:szCs w:val="24"/>
          <w:rtl w:val="0"/>
        </w:rPr>
        <w:t xml:space="preserve">: </w:t>
      </w:r>
      <w:r w:rsidDel="00000000" w:rsidR="00000000" w:rsidRPr="00000000">
        <w:rPr>
          <w:sz w:val="24"/>
          <w:szCs w:val="24"/>
          <w:rtl w:val="0"/>
        </w:rPr>
        <w:t xml:space="preserve">Computed dropout rate from NCES counts, handled missing or suppressed values using pd.to_numeric with errors=’coerce’ and clipped invalid values to zero where necessary. </w:t>
      </w:r>
      <w:r w:rsidDel="00000000" w:rsidR="00000000" w:rsidRPr="00000000">
        <w:rPr>
          <w:rtl w:val="0"/>
        </w:rPr>
      </w:r>
    </w:p>
    <w:p w:rsidR="00000000" w:rsidDel="00000000" w:rsidP="00000000" w:rsidRDefault="00000000" w:rsidRPr="00000000" w14:paraId="00000024">
      <w:pPr>
        <w:spacing w:after="120" w:before="300" w:lineRule="auto"/>
        <w:rPr>
          <w:b w:val="1"/>
          <w:bCs w:val="1"/>
          <w:color w:val="3d85c6"/>
          <w:sz w:val="24"/>
          <w:szCs w:val="24"/>
        </w:rPr>
      </w:pPr>
      <w:r w:rsidDel="00000000" w:rsidR="00000000" w:rsidRPr="00000000">
        <w:rPr>
          <w:b w:val="1"/>
          <w:bCs w:val="1"/>
          <w:color w:val="3d85c6"/>
          <w:sz w:val="24"/>
          <w:szCs w:val="24"/>
          <w:rtl w:val="0"/>
        </w:rPr>
        <w:t xml:space="preserve">3.3 Modeling</w:t>
      </w:r>
    </w:p>
    <w:p w:rsidR="00000000" w:rsidDel="00000000" w:rsidP="00000000" w:rsidRDefault="00000000" w:rsidRPr="00000000" w14:paraId="00000025">
      <w:pPr>
        <w:spacing w:after="160" w:before="240" w:lineRule="auto"/>
        <w:jc w:val="both"/>
        <w:rPr>
          <w:sz w:val="24"/>
          <w:szCs w:val="24"/>
        </w:rPr>
      </w:pPr>
      <w:r w:rsidDel="00000000" w:rsidR="00000000" w:rsidRPr="00000000">
        <w:rPr>
          <w:sz w:val="24"/>
          <w:szCs w:val="24"/>
          <w:rtl w:val="0"/>
        </w:rPr>
        <w:t xml:space="preserve">We evaluated predictive performance primarily using the Option A (district-level fused) dataset as the primary analysis sample. We compared three modeling approaches:</w:t>
      </w:r>
    </w:p>
    <w:p w:rsidR="00000000" w:rsidDel="00000000" w:rsidP="00000000" w:rsidRDefault="00000000" w:rsidRPr="00000000" w14:paraId="00000026">
      <w:pPr>
        <w:numPr>
          <w:ilvl w:val="0"/>
          <w:numId w:val="1"/>
        </w:numPr>
        <w:spacing w:after="0" w:afterAutospacing="0" w:before="240" w:lineRule="auto"/>
        <w:ind w:left="720" w:hanging="360"/>
        <w:jc w:val="both"/>
        <w:rPr>
          <w:sz w:val="24"/>
          <w:szCs w:val="24"/>
          <w:u w:val="none"/>
        </w:rPr>
      </w:pPr>
      <w:r w:rsidDel="00000000" w:rsidR="00000000" w:rsidRPr="00000000">
        <w:rPr>
          <w:sz w:val="24"/>
          <w:szCs w:val="24"/>
          <w:rtl w:val="0"/>
        </w:rPr>
        <w:t xml:space="preserve">Baseline mean predictor</w:t>
      </w:r>
    </w:p>
    <w:p w:rsidR="00000000" w:rsidDel="00000000" w:rsidP="00000000" w:rsidRDefault="00000000" w:rsidRPr="00000000" w14:paraId="00000027">
      <w:pPr>
        <w:numPr>
          <w:ilvl w:val="0"/>
          <w:numId w:val="1"/>
        </w:numPr>
        <w:spacing w:after="0" w:afterAutospacing="0" w:before="0" w:beforeAutospacing="0" w:lineRule="auto"/>
        <w:ind w:left="720" w:hanging="360"/>
        <w:jc w:val="both"/>
        <w:rPr>
          <w:sz w:val="24"/>
          <w:szCs w:val="24"/>
          <w:u w:val="none"/>
        </w:rPr>
      </w:pPr>
      <w:r w:rsidDel="00000000" w:rsidR="00000000" w:rsidRPr="00000000">
        <w:rPr>
          <w:sz w:val="24"/>
          <w:szCs w:val="24"/>
          <w:rtl w:val="0"/>
        </w:rPr>
        <w:t xml:space="preserve">Linear regression</w:t>
      </w:r>
    </w:p>
    <w:p w:rsidR="00000000" w:rsidDel="00000000" w:rsidP="00000000" w:rsidRDefault="00000000" w:rsidRPr="00000000" w14:paraId="00000028">
      <w:pPr>
        <w:numPr>
          <w:ilvl w:val="0"/>
          <w:numId w:val="1"/>
        </w:numPr>
        <w:spacing w:after="160" w:before="0" w:beforeAutospacing="0" w:lineRule="auto"/>
        <w:ind w:left="720" w:hanging="360"/>
        <w:jc w:val="both"/>
        <w:rPr>
          <w:sz w:val="24"/>
          <w:szCs w:val="24"/>
          <w:u w:val="none"/>
        </w:rPr>
      </w:pPr>
      <w:r w:rsidDel="00000000" w:rsidR="00000000" w:rsidRPr="00000000">
        <w:rPr>
          <w:sz w:val="24"/>
          <w:szCs w:val="24"/>
          <w:rtl w:val="0"/>
        </w:rPr>
        <w:t xml:space="preserve">Random Forest regression</w:t>
      </w:r>
    </w:p>
    <w:p w:rsidR="00000000" w:rsidDel="00000000" w:rsidP="00000000" w:rsidRDefault="00000000" w:rsidRPr="00000000" w14:paraId="00000029">
      <w:pPr>
        <w:spacing w:after="160" w:before="240" w:lineRule="auto"/>
        <w:jc w:val="both"/>
        <w:rPr>
          <w:sz w:val="24"/>
          <w:szCs w:val="24"/>
        </w:rPr>
      </w:pPr>
      <w:r w:rsidDel="00000000" w:rsidR="00000000" w:rsidRPr="00000000">
        <w:rPr>
          <w:sz w:val="24"/>
          <w:szCs w:val="24"/>
          <w:rtl w:val="0"/>
        </w:rPr>
        <w:t xml:space="preserve">We first </w:t>
      </w:r>
      <w:r w:rsidDel="00000000" w:rsidR="00000000" w:rsidRPr="00000000">
        <w:rPr>
          <w:sz w:val="24"/>
          <w:szCs w:val="24"/>
          <w:rtl w:val="0"/>
        </w:rPr>
        <w:t xml:space="preserve">trained a multiple linear regression model (scikit-learn LinearRegression) using three features: poverty_rate, median_income, and bachelor_plus_rate, with dropout_rate as the target variable. Given the relatively small sample size (n = 52), we also used a simple baseline model that predicts the mean dropout rate from the training data for comparison.</w:t>
      </w:r>
    </w:p>
    <w:p w:rsidR="00000000" w:rsidDel="00000000" w:rsidP="00000000" w:rsidRDefault="00000000" w:rsidRPr="00000000" w14:paraId="0000002A">
      <w:pPr>
        <w:spacing w:after="160" w:before="240" w:lineRule="auto"/>
        <w:jc w:val="both"/>
        <w:rPr>
          <w:sz w:val="24"/>
          <w:szCs w:val="24"/>
        </w:rPr>
      </w:pPr>
      <w:r w:rsidDel="00000000" w:rsidR="00000000" w:rsidRPr="00000000">
        <w:rPr>
          <w:sz w:val="24"/>
          <w:szCs w:val="24"/>
          <w:rtl w:val="0"/>
        </w:rPr>
        <w:t xml:space="preserve">To assess whether the nonlinear relationship improves predictive performance, we additionally trained a Random Forest regression model on the same feature set under Option A.</w:t>
      </w:r>
    </w:p>
    <w:p w:rsidR="00000000" w:rsidDel="00000000" w:rsidP="00000000" w:rsidRDefault="00000000" w:rsidRPr="00000000" w14:paraId="0000002B">
      <w:pPr>
        <w:spacing w:after="160" w:before="240" w:lineRule="auto"/>
        <w:jc w:val="both"/>
        <w:rPr>
          <w:sz w:val="24"/>
          <w:szCs w:val="24"/>
        </w:rPr>
      </w:pPr>
      <w:r w:rsidDel="00000000" w:rsidR="00000000" w:rsidRPr="00000000">
        <w:rPr>
          <w:sz w:val="24"/>
          <w:szCs w:val="24"/>
          <w:rtl w:val="0"/>
        </w:rPr>
        <w:t xml:space="preserve">Model performance was evaluated using R², MAE, and RMSE where applicable. For the Option A dataset, we used an 80/20 train-test split to assess generalization, while the baseline state-level model was used primarily for comparison of explanatory power. </w:t>
      </w:r>
    </w:p>
    <w:p w:rsidR="00000000" w:rsidDel="00000000" w:rsidP="00000000" w:rsidRDefault="00000000" w:rsidRPr="00000000" w14:paraId="0000002C">
      <w:pPr>
        <w:spacing w:after="120" w:before="300" w:lineRule="auto"/>
        <w:rPr>
          <w:b w:val="1"/>
          <w:bCs w:val="1"/>
          <w:color w:val="1f3864"/>
          <w:sz w:val="28"/>
          <w:szCs w:val="28"/>
        </w:rPr>
      </w:pPr>
      <w:r w:rsidDel="00000000" w:rsidR="00000000" w:rsidRPr="00000000">
        <w:rPr>
          <w:b w:val="1"/>
          <w:bCs w:val="1"/>
          <w:color w:val="1f3864"/>
          <w:sz w:val="28"/>
          <w:szCs w:val="28"/>
          <w:rtl w:val="0"/>
        </w:rPr>
        <w:t xml:space="preserve">4. Experiments &amp; Results</w:t>
      </w:r>
    </w:p>
    <w:p w:rsidR="00000000" w:rsidDel="00000000" w:rsidP="00000000" w:rsidRDefault="00000000" w:rsidRPr="00000000" w14:paraId="0000002D">
      <w:pPr>
        <w:spacing w:after="120" w:before="300" w:lineRule="auto"/>
        <w:rPr>
          <w:b w:val="1"/>
          <w:bCs w:val="1"/>
          <w:color w:val="3d85c6"/>
          <w:sz w:val="24"/>
          <w:szCs w:val="24"/>
        </w:rPr>
      </w:pPr>
      <w:r w:rsidDel="00000000" w:rsidR="00000000" w:rsidRPr="00000000">
        <w:rPr>
          <w:b w:val="1"/>
          <w:bCs w:val="1"/>
          <w:color w:val="3d85c6"/>
          <w:sz w:val="24"/>
          <w:szCs w:val="24"/>
          <w:rtl w:val="0"/>
        </w:rPr>
        <w:t xml:space="preserve">4.1 Descriptive Statistics</w:t>
      </w:r>
    </w:p>
    <w:p w:rsidR="00000000" w:rsidDel="00000000" w:rsidP="00000000" w:rsidRDefault="00000000" w:rsidRPr="00000000" w14:paraId="0000002E">
      <w:pPr>
        <w:spacing w:after="160" w:before="240" w:lineRule="auto"/>
        <w:jc w:val="both"/>
        <w:rPr>
          <w:sz w:val="24"/>
          <w:szCs w:val="24"/>
        </w:rPr>
      </w:pPr>
      <w:r w:rsidDel="00000000" w:rsidR="00000000" w:rsidRPr="00000000">
        <w:rPr>
          <w:sz w:val="24"/>
          <w:szCs w:val="24"/>
          <w:rtl w:val="0"/>
        </w:rPr>
        <w:t xml:space="preserve">After fusion, the dataset contained 52 state-level observations. Key descriptive statistics are shown in Table 1.</w:t>
      </w:r>
    </w:p>
    <w:tbl>
      <w:tblPr>
        <w:tblStyle w:val="Table1"/>
        <w:tblpPr w:leftFromText="180" w:rightFromText="180" w:topFromText="144" w:bottomFromText="180" w:vertAnchor="text" w:horzAnchor="text" w:tblpX="-60" w:tblpY="0"/>
        <w:tblW w:w="101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40"/>
        <w:gridCol w:w="2010"/>
        <w:gridCol w:w="2025"/>
        <w:gridCol w:w="2025"/>
        <w:gridCol w:w="2025"/>
        <w:tblGridChange w:id="0">
          <w:tblGrid>
            <w:gridCol w:w="2040"/>
            <w:gridCol w:w="2010"/>
            <w:gridCol w:w="2025"/>
            <w:gridCol w:w="2025"/>
            <w:gridCol w:w="2025"/>
          </w:tblGrid>
        </w:tblGridChange>
      </w:tblGrid>
      <w:tr>
        <w:trPr>
          <w:cantSplit w:val="0"/>
          <w:trHeight w:val="978.0000000000001" w:hRule="atLeast"/>
          <w:tblHeader w:val="0"/>
        </w:trPr>
        <w:tc>
          <w:tcPr>
            <w:tcBorders>
              <w:top w:color="cccccc" w:space="0" w:sz="6" w:val="single"/>
              <w:left w:color="cccccc" w:space="0" w:sz="6" w:val="single"/>
              <w:bottom w:color="cccccc" w:space="0" w:sz="6" w:val="single"/>
              <w:right w:color="cccccc" w:space="0" w:sz="6" w:val="single"/>
            </w:tcBorders>
            <w:shd w:fill="2e75b6" w:val="clear"/>
            <w:tcMar>
              <w:top w:w="80.0" w:type="dxa"/>
              <w:left w:w="120.0" w:type="dxa"/>
              <w:bottom w:w="80.0" w:type="dxa"/>
              <w:right w:w="120.0" w:type="dxa"/>
            </w:tcMar>
          </w:tcPr>
          <w:p w:rsidR="00000000" w:rsidDel="00000000" w:rsidP="00000000" w:rsidRDefault="00000000" w:rsidRPr="00000000" w14:paraId="0000002F">
            <w:pPr>
              <w:spacing w:after="0" w:before="0" w:line="240" w:lineRule="auto"/>
              <w:rPr>
                <w:b w:val="1"/>
                <w:bCs w:val="1"/>
                <w:color w:val="ffffff"/>
                <w:sz w:val="20"/>
                <w:szCs w:val="20"/>
              </w:rPr>
            </w:pPr>
            <w:r w:rsidDel="00000000" w:rsidR="00000000" w:rsidRPr="00000000">
              <w:rPr>
                <w:b w:val="1"/>
                <w:bCs w:val="1"/>
                <w:color w:val="ffffff"/>
                <w:sz w:val="20"/>
                <w:szCs w:val="20"/>
                <w:rtl w:val="0"/>
              </w:rPr>
              <w:t xml:space="preserve">Variable</w:t>
            </w:r>
          </w:p>
        </w:tc>
        <w:tc>
          <w:tcPr>
            <w:tcBorders>
              <w:top w:color="cccccc" w:space="0" w:sz="6" w:val="single"/>
              <w:left w:color="cccccc" w:space="0" w:sz="6" w:val="single"/>
              <w:bottom w:color="cccccc" w:space="0" w:sz="6" w:val="single"/>
              <w:right w:color="cccccc" w:space="0" w:sz="6" w:val="single"/>
            </w:tcBorders>
            <w:shd w:fill="2e75b6" w:val="clear"/>
            <w:tcMar>
              <w:top w:w="80.0" w:type="dxa"/>
              <w:left w:w="120.0" w:type="dxa"/>
              <w:bottom w:w="80.0" w:type="dxa"/>
              <w:right w:w="120.0" w:type="dxa"/>
            </w:tcMar>
          </w:tcPr>
          <w:p w:rsidR="00000000" w:rsidDel="00000000" w:rsidP="00000000" w:rsidRDefault="00000000" w:rsidRPr="00000000" w14:paraId="00000030">
            <w:pPr>
              <w:spacing w:after="0" w:before="0" w:line="240" w:lineRule="auto"/>
              <w:rPr>
                <w:b w:val="1"/>
                <w:bCs w:val="1"/>
                <w:color w:val="ffffff"/>
                <w:sz w:val="20"/>
                <w:szCs w:val="20"/>
              </w:rPr>
            </w:pPr>
            <w:r w:rsidDel="00000000" w:rsidR="00000000" w:rsidRPr="00000000">
              <w:rPr>
                <w:b w:val="1"/>
                <w:bCs w:val="1"/>
                <w:color w:val="ffffff"/>
                <w:sz w:val="20"/>
                <w:szCs w:val="20"/>
                <w:rtl w:val="0"/>
              </w:rPr>
              <w:t xml:space="preserve">Mean</w:t>
            </w:r>
          </w:p>
        </w:tc>
        <w:tc>
          <w:tcPr>
            <w:tcBorders>
              <w:top w:color="cccccc" w:space="0" w:sz="6" w:val="single"/>
              <w:left w:color="cccccc" w:space="0" w:sz="6" w:val="single"/>
              <w:bottom w:color="cccccc" w:space="0" w:sz="6" w:val="single"/>
              <w:right w:color="cccccc" w:space="0" w:sz="6" w:val="single"/>
            </w:tcBorders>
            <w:shd w:fill="2e75b6" w:val="clear"/>
            <w:tcMar>
              <w:top w:w="80.0" w:type="dxa"/>
              <w:left w:w="120.0" w:type="dxa"/>
              <w:bottom w:w="80.0" w:type="dxa"/>
              <w:right w:w="120.0" w:type="dxa"/>
            </w:tcMar>
          </w:tcPr>
          <w:p w:rsidR="00000000" w:rsidDel="00000000" w:rsidP="00000000" w:rsidRDefault="00000000" w:rsidRPr="00000000" w14:paraId="00000031">
            <w:pPr>
              <w:spacing w:after="0" w:before="0" w:line="240" w:lineRule="auto"/>
              <w:rPr>
                <w:b w:val="1"/>
                <w:bCs w:val="1"/>
                <w:color w:val="ffffff"/>
                <w:sz w:val="20"/>
                <w:szCs w:val="20"/>
              </w:rPr>
            </w:pPr>
            <w:r w:rsidDel="00000000" w:rsidR="00000000" w:rsidRPr="00000000">
              <w:rPr>
                <w:b w:val="1"/>
                <w:bCs w:val="1"/>
                <w:color w:val="ffffff"/>
                <w:sz w:val="20"/>
                <w:szCs w:val="20"/>
                <w:rtl w:val="0"/>
              </w:rPr>
              <w:t xml:space="preserve">Std Dev</w:t>
            </w:r>
          </w:p>
        </w:tc>
        <w:tc>
          <w:tcPr>
            <w:tcBorders>
              <w:top w:color="cccccc" w:space="0" w:sz="6" w:val="single"/>
              <w:left w:color="cccccc" w:space="0" w:sz="6" w:val="single"/>
              <w:bottom w:color="cccccc" w:space="0" w:sz="6" w:val="single"/>
              <w:right w:color="cccccc" w:space="0" w:sz="6" w:val="single"/>
            </w:tcBorders>
            <w:shd w:fill="2e75b6" w:val="clear"/>
            <w:tcMar>
              <w:top w:w="80.0" w:type="dxa"/>
              <w:left w:w="120.0" w:type="dxa"/>
              <w:bottom w:w="80.0" w:type="dxa"/>
              <w:right w:w="120.0" w:type="dxa"/>
            </w:tcMar>
          </w:tcPr>
          <w:p w:rsidR="00000000" w:rsidDel="00000000" w:rsidP="00000000" w:rsidRDefault="00000000" w:rsidRPr="00000000" w14:paraId="00000032">
            <w:pPr>
              <w:spacing w:after="0" w:before="0" w:line="240" w:lineRule="auto"/>
              <w:rPr>
                <w:b w:val="1"/>
                <w:bCs w:val="1"/>
                <w:color w:val="ffffff"/>
                <w:sz w:val="20"/>
                <w:szCs w:val="20"/>
              </w:rPr>
            </w:pPr>
            <w:r w:rsidDel="00000000" w:rsidR="00000000" w:rsidRPr="00000000">
              <w:rPr>
                <w:b w:val="1"/>
                <w:bCs w:val="1"/>
                <w:color w:val="ffffff"/>
                <w:sz w:val="20"/>
                <w:szCs w:val="20"/>
                <w:rtl w:val="0"/>
              </w:rPr>
              <w:t xml:space="preserve">Min</w:t>
            </w:r>
          </w:p>
        </w:tc>
        <w:tc>
          <w:tcPr>
            <w:tcBorders>
              <w:top w:color="cccccc" w:space="0" w:sz="6" w:val="single"/>
              <w:left w:color="cccccc" w:space="0" w:sz="6" w:val="single"/>
              <w:bottom w:color="cccccc" w:space="0" w:sz="6" w:val="single"/>
              <w:right w:color="cccccc" w:space="0" w:sz="6" w:val="single"/>
            </w:tcBorders>
            <w:shd w:fill="2e75b6" w:val="clear"/>
            <w:tcMar>
              <w:top w:w="80.0" w:type="dxa"/>
              <w:left w:w="120.0" w:type="dxa"/>
              <w:bottom w:w="80.0" w:type="dxa"/>
              <w:right w:w="120.0" w:type="dxa"/>
            </w:tcMar>
          </w:tcPr>
          <w:p w:rsidR="00000000" w:rsidDel="00000000" w:rsidP="00000000" w:rsidRDefault="00000000" w:rsidRPr="00000000" w14:paraId="00000033">
            <w:pPr>
              <w:spacing w:after="0" w:before="0" w:line="240" w:lineRule="auto"/>
              <w:rPr>
                <w:b w:val="1"/>
                <w:bCs w:val="1"/>
                <w:color w:val="ffffff"/>
                <w:sz w:val="20"/>
                <w:szCs w:val="20"/>
              </w:rPr>
            </w:pPr>
            <w:r w:rsidDel="00000000" w:rsidR="00000000" w:rsidRPr="00000000">
              <w:rPr>
                <w:b w:val="1"/>
                <w:bCs w:val="1"/>
                <w:color w:val="ffffff"/>
                <w:sz w:val="20"/>
                <w:szCs w:val="20"/>
                <w:rtl w:val="0"/>
              </w:rPr>
              <w:t xml:space="preserve">Max</w:t>
            </w:r>
          </w:p>
        </w:tc>
      </w:tr>
      <w:tr>
        <w:trPr>
          <w:cantSplit w:val="0"/>
          <w:trHeight w:val="585" w:hRule="atLeast"/>
          <w:tblHeader w:val="0"/>
        </w:trPr>
        <w:tc>
          <w:tcPr>
            <w:tcBorders>
              <w:top w:color="cccccc" w:space="0" w:sz="6" w:val="single"/>
              <w:left w:color="cccccc" w:space="0" w:sz="6" w:val="single"/>
              <w:bottom w:color="cccccc" w:space="0" w:sz="6" w:val="single"/>
              <w:right w:color="cccccc" w:space="0" w:sz="6" w:val="single"/>
            </w:tcBorders>
            <w:shd w:fill="f2f7fc" w:val="clear"/>
            <w:tcMar>
              <w:top w:w="80.0" w:type="dxa"/>
              <w:left w:w="120.0" w:type="dxa"/>
              <w:bottom w:w="80.0" w:type="dxa"/>
              <w:right w:w="120.0" w:type="dxa"/>
            </w:tcMar>
          </w:tcPr>
          <w:p w:rsidR="00000000" w:rsidDel="00000000" w:rsidP="00000000" w:rsidRDefault="00000000" w:rsidRPr="00000000" w14:paraId="00000034">
            <w:pPr>
              <w:spacing w:after="0" w:before="0" w:line="240" w:lineRule="auto"/>
              <w:rPr>
                <w:sz w:val="20"/>
                <w:szCs w:val="20"/>
              </w:rPr>
            </w:pPr>
            <w:r w:rsidDel="00000000" w:rsidR="00000000" w:rsidRPr="00000000">
              <w:rPr>
                <w:sz w:val="20"/>
                <w:szCs w:val="20"/>
                <w:rtl w:val="0"/>
              </w:rPr>
              <w:t xml:space="preserve">Poverty Rate (%)</w:t>
            </w:r>
          </w:p>
        </w:tc>
        <w:tc>
          <w:tcPr>
            <w:tcBorders>
              <w:top w:color="cccccc" w:space="0" w:sz="6" w:val="single"/>
              <w:left w:color="cccccc" w:space="0" w:sz="6" w:val="single"/>
              <w:bottom w:color="cccccc" w:space="0" w:sz="6" w:val="single"/>
              <w:right w:color="cccccc" w:space="0" w:sz="6" w:val="single"/>
            </w:tcBorders>
            <w:shd w:fill="f2f7fc" w:val="clear"/>
            <w:tcMar>
              <w:top w:w="80.0" w:type="dxa"/>
              <w:left w:w="120.0" w:type="dxa"/>
              <w:bottom w:w="80.0" w:type="dxa"/>
              <w:right w:w="120.0" w:type="dxa"/>
            </w:tcMar>
          </w:tcPr>
          <w:p w:rsidR="00000000" w:rsidDel="00000000" w:rsidP="00000000" w:rsidRDefault="00000000" w:rsidRPr="00000000" w14:paraId="00000035">
            <w:pPr>
              <w:spacing w:after="0" w:before="0" w:line="240" w:lineRule="auto"/>
              <w:rPr>
                <w:sz w:val="20"/>
                <w:szCs w:val="20"/>
              </w:rPr>
            </w:pPr>
            <w:r w:rsidDel="00000000" w:rsidR="00000000" w:rsidRPr="00000000">
              <w:rPr>
                <w:sz w:val="20"/>
                <w:szCs w:val="20"/>
                <w:rtl w:val="0"/>
              </w:rPr>
              <w:t xml:space="preserve">14.10</w:t>
            </w:r>
          </w:p>
        </w:tc>
        <w:tc>
          <w:tcPr>
            <w:tcBorders>
              <w:top w:color="cccccc" w:space="0" w:sz="6" w:val="single"/>
              <w:left w:color="cccccc" w:space="0" w:sz="6" w:val="single"/>
              <w:bottom w:color="cccccc" w:space="0" w:sz="6" w:val="single"/>
              <w:right w:color="cccccc" w:space="0" w:sz="6" w:val="single"/>
            </w:tcBorders>
            <w:shd w:fill="f2f7fc" w:val="clear"/>
            <w:tcMar>
              <w:top w:w="80.0" w:type="dxa"/>
              <w:left w:w="120.0" w:type="dxa"/>
              <w:bottom w:w="80.0" w:type="dxa"/>
              <w:right w:w="120.0" w:type="dxa"/>
            </w:tcMar>
          </w:tcPr>
          <w:p w:rsidR="00000000" w:rsidDel="00000000" w:rsidP="00000000" w:rsidRDefault="00000000" w:rsidRPr="00000000" w14:paraId="00000036">
            <w:pPr>
              <w:spacing w:after="0" w:before="0" w:line="240" w:lineRule="auto"/>
              <w:rPr>
                <w:sz w:val="20"/>
                <w:szCs w:val="20"/>
              </w:rPr>
            </w:pPr>
            <w:r w:rsidDel="00000000" w:rsidR="00000000" w:rsidRPr="00000000">
              <w:rPr>
                <w:sz w:val="20"/>
                <w:szCs w:val="20"/>
                <w:rtl w:val="0"/>
              </w:rPr>
              <w:t xml:space="preserve">5.43</w:t>
            </w:r>
          </w:p>
        </w:tc>
        <w:tc>
          <w:tcPr>
            <w:tcBorders>
              <w:top w:color="cccccc" w:space="0" w:sz="6" w:val="single"/>
              <w:left w:color="cccccc" w:space="0" w:sz="6" w:val="single"/>
              <w:bottom w:color="cccccc" w:space="0" w:sz="6" w:val="single"/>
              <w:right w:color="cccccc" w:space="0" w:sz="6" w:val="single"/>
            </w:tcBorders>
            <w:shd w:fill="f2f7fc" w:val="clear"/>
            <w:tcMar>
              <w:top w:w="80.0" w:type="dxa"/>
              <w:left w:w="120.0" w:type="dxa"/>
              <w:bottom w:w="80.0" w:type="dxa"/>
              <w:right w:w="120.0" w:type="dxa"/>
            </w:tcMar>
          </w:tcPr>
          <w:p w:rsidR="00000000" w:rsidDel="00000000" w:rsidP="00000000" w:rsidRDefault="00000000" w:rsidRPr="00000000" w14:paraId="00000037">
            <w:pPr>
              <w:spacing w:after="0" w:before="0" w:line="240" w:lineRule="auto"/>
              <w:rPr>
                <w:sz w:val="20"/>
                <w:szCs w:val="20"/>
              </w:rPr>
            </w:pPr>
            <w:r w:rsidDel="00000000" w:rsidR="00000000" w:rsidRPr="00000000">
              <w:rPr>
                <w:sz w:val="20"/>
                <w:szCs w:val="20"/>
                <w:rtl w:val="0"/>
              </w:rPr>
              <w:t xml:space="preserve">8.62</w:t>
            </w:r>
          </w:p>
        </w:tc>
        <w:tc>
          <w:tcPr>
            <w:tcBorders>
              <w:top w:color="cccccc" w:space="0" w:sz="6" w:val="single"/>
              <w:left w:color="cccccc" w:space="0" w:sz="6" w:val="single"/>
              <w:bottom w:color="cccccc" w:space="0" w:sz="6" w:val="single"/>
              <w:right w:color="cccccc" w:space="0" w:sz="6" w:val="single"/>
            </w:tcBorders>
            <w:shd w:fill="f2f7fc" w:val="clear"/>
            <w:tcMar>
              <w:top w:w="80.0" w:type="dxa"/>
              <w:left w:w="120.0" w:type="dxa"/>
              <w:bottom w:w="80.0" w:type="dxa"/>
              <w:right w:w="120.0" w:type="dxa"/>
            </w:tcMar>
          </w:tcPr>
          <w:p w:rsidR="00000000" w:rsidDel="00000000" w:rsidP="00000000" w:rsidRDefault="00000000" w:rsidRPr="00000000" w14:paraId="00000038">
            <w:pPr>
              <w:spacing w:after="0" w:before="0" w:line="240" w:lineRule="auto"/>
              <w:rPr>
                <w:sz w:val="20"/>
                <w:szCs w:val="20"/>
              </w:rPr>
            </w:pPr>
            <w:r w:rsidDel="00000000" w:rsidR="00000000" w:rsidRPr="00000000">
              <w:rPr>
                <w:sz w:val="20"/>
                <w:szCs w:val="20"/>
                <w:rtl w:val="0"/>
              </w:rPr>
              <w:t xml:space="preserve">44.69</w:t>
            </w:r>
          </w:p>
        </w:tc>
      </w:tr>
      <w:tr>
        <w:trPr>
          <w:cantSplit w:val="0"/>
          <w:trHeight w:val="585" w:hRule="atLeast"/>
          <w:tblHeader w:val="0"/>
        </w:trPr>
        <w:tc>
          <w:tcPr>
            <w:tcBorders>
              <w:top w:color="cccccc" w:space="0" w:sz="6" w:val="single"/>
              <w:left w:color="cccccc" w:space="0" w:sz="6" w:val="single"/>
              <w:bottom w:color="cccccc" w:space="0" w:sz="6" w:val="single"/>
              <w:right w:color="cccccc" w:space="0" w:sz="6" w:val="single"/>
            </w:tcBorders>
            <w:shd w:fill="ffffff" w:val="clear"/>
            <w:tcMar>
              <w:top w:w="80.0" w:type="dxa"/>
              <w:left w:w="120.0" w:type="dxa"/>
              <w:bottom w:w="80.0" w:type="dxa"/>
              <w:right w:w="120.0" w:type="dxa"/>
            </w:tcMar>
          </w:tcPr>
          <w:p w:rsidR="00000000" w:rsidDel="00000000" w:rsidP="00000000" w:rsidRDefault="00000000" w:rsidRPr="00000000" w14:paraId="00000039">
            <w:pPr>
              <w:spacing w:after="0" w:before="0" w:line="240" w:lineRule="auto"/>
              <w:rPr>
                <w:sz w:val="20"/>
                <w:szCs w:val="20"/>
              </w:rPr>
            </w:pPr>
            <w:r w:rsidDel="00000000" w:rsidR="00000000" w:rsidRPr="00000000">
              <w:rPr>
                <w:sz w:val="20"/>
                <w:szCs w:val="20"/>
                <w:rtl w:val="0"/>
              </w:rPr>
              <w:t xml:space="preserve">Median Income ($)</w:t>
            </w:r>
          </w:p>
        </w:tc>
        <w:tc>
          <w:tcPr>
            <w:tcBorders>
              <w:top w:color="cccccc" w:space="0" w:sz="6" w:val="single"/>
              <w:left w:color="cccccc" w:space="0" w:sz="6" w:val="single"/>
              <w:bottom w:color="cccccc" w:space="0" w:sz="6" w:val="single"/>
              <w:right w:color="cccccc" w:space="0" w:sz="6" w:val="single"/>
            </w:tcBorders>
            <w:shd w:fill="ffffff" w:val="clear"/>
            <w:tcMar>
              <w:top w:w="80.0" w:type="dxa"/>
              <w:left w:w="120.0" w:type="dxa"/>
              <w:bottom w:w="80.0" w:type="dxa"/>
              <w:right w:w="120.0" w:type="dxa"/>
            </w:tcMar>
          </w:tcPr>
          <w:p w:rsidR="00000000" w:rsidDel="00000000" w:rsidP="00000000" w:rsidRDefault="00000000" w:rsidRPr="00000000" w14:paraId="0000003A">
            <w:pPr>
              <w:spacing w:after="0" w:before="0" w:line="240" w:lineRule="auto"/>
              <w:rPr>
                <w:sz w:val="20"/>
                <w:szCs w:val="20"/>
              </w:rPr>
            </w:pPr>
            <w:r w:rsidDel="00000000" w:rsidR="00000000" w:rsidRPr="00000000">
              <w:rPr>
                <w:sz w:val="20"/>
                <w:szCs w:val="20"/>
                <w:rtl w:val="0"/>
              </w:rPr>
              <w:t xml:space="preserve">68,308</w:t>
            </w:r>
          </w:p>
        </w:tc>
        <w:tc>
          <w:tcPr>
            <w:tcBorders>
              <w:top w:color="cccccc" w:space="0" w:sz="6" w:val="single"/>
              <w:left w:color="cccccc" w:space="0" w:sz="6" w:val="single"/>
              <w:bottom w:color="cccccc" w:space="0" w:sz="6" w:val="single"/>
              <w:right w:color="cccccc" w:space="0" w:sz="6" w:val="single"/>
            </w:tcBorders>
            <w:shd w:fill="ffffff" w:val="clear"/>
            <w:tcMar>
              <w:top w:w="80.0" w:type="dxa"/>
              <w:left w:w="120.0" w:type="dxa"/>
              <w:bottom w:w="80.0" w:type="dxa"/>
              <w:right w:w="120.0" w:type="dxa"/>
            </w:tcMar>
          </w:tcPr>
          <w:p w:rsidR="00000000" w:rsidDel="00000000" w:rsidP="00000000" w:rsidRDefault="00000000" w:rsidRPr="00000000" w14:paraId="0000003B">
            <w:pPr>
              <w:spacing w:after="0" w:before="0" w:line="240" w:lineRule="auto"/>
              <w:rPr>
                <w:sz w:val="20"/>
                <w:szCs w:val="20"/>
              </w:rPr>
            </w:pPr>
            <w:r w:rsidDel="00000000" w:rsidR="00000000" w:rsidRPr="00000000">
              <w:rPr>
                <w:sz w:val="20"/>
                <w:szCs w:val="20"/>
                <w:rtl w:val="0"/>
              </w:rPr>
              <w:t xml:space="preserve">15,010</w:t>
            </w:r>
          </w:p>
        </w:tc>
        <w:tc>
          <w:tcPr>
            <w:tcBorders>
              <w:top w:color="cccccc" w:space="0" w:sz="6" w:val="single"/>
              <w:left w:color="cccccc" w:space="0" w:sz="6" w:val="single"/>
              <w:bottom w:color="cccccc" w:space="0" w:sz="6" w:val="single"/>
              <w:right w:color="cccccc" w:space="0" w:sz="6" w:val="single"/>
            </w:tcBorders>
            <w:shd w:fill="ffffff" w:val="clear"/>
            <w:tcMar>
              <w:top w:w="80.0" w:type="dxa"/>
              <w:left w:w="120.0" w:type="dxa"/>
              <w:bottom w:w="80.0" w:type="dxa"/>
              <w:right w:w="120.0" w:type="dxa"/>
            </w:tcMar>
          </w:tcPr>
          <w:p w:rsidR="00000000" w:rsidDel="00000000" w:rsidP="00000000" w:rsidRDefault="00000000" w:rsidRPr="00000000" w14:paraId="0000003C">
            <w:pPr>
              <w:spacing w:after="0" w:before="0" w:line="240" w:lineRule="auto"/>
              <w:rPr>
                <w:sz w:val="20"/>
                <w:szCs w:val="20"/>
              </w:rPr>
            </w:pPr>
            <w:r w:rsidDel="00000000" w:rsidR="00000000" w:rsidRPr="00000000">
              <w:rPr>
                <w:sz w:val="20"/>
                <w:szCs w:val="20"/>
                <w:rtl w:val="0"/>
              </w:rPr>
              <w:t xml:space="preserve">22,431</w:t>
            </w:r>
          </w:p>
        </w:tc>
        <w:tc>
          <w:tcPr>
            <w:tcBorders>
              <w:top w:color="cccccc" w:space="0" w:sz="6" w:val="single"/>
              <w:left w:color="cccccc" w:space="0" w:sz="6" w:val="single"/>
              <w:bottom w:color="cccccc" w:space="0" w:sz="6" w:val="single"/>
              <w:right w:color="cccccc" w:space="0" w:sz="6" w:val="single"/>
            </w:tcBorders>
            <w:shd w:fill="ffffff" w:val="clear"/>
            <w:tcMar>
              <w:top w:w="80.0" w:type="dxa"/>
              <w:left w:w="120.0" w:type="dxa"/>
              <w:bottom w:w="80.0" w:type="dxa"/>
              <w:right w:w="120.0" w:type="dxa"/>
            </w:tcMar>
          </w:tcPr>
          <w:p w:rsidR="00000000" w:rsidDel="00000000" w:rsidP="00000000" w:rsidRDefault="00000000" w:rsidRPr="00000000" w14:paraId="0000003D">
            <w:pPr>
              <w:spacing w:after="0" w:before="0" w:line="240" w:lineRule="auto"/>
              <w:rPr>
                <w:sz w:val="20"/>
                <w:szCs w:val="20"/>
              </w:rPr>
            </w:pPr>
            <w:r w:rsidDel="00000000" w:rsidR="00000000" w:rsidRPr="00000000">
              <w:rPr>
                <w:sz w:val="20"/>
                <w:szCs w:val="20"/>
                <w:rtl w:val="0"/>
              </w:rPr>
              <w:t xml:space="preserve">106,287</w:t>
            </w:r>
          </w:p>
        </w:tc>
      </w:tr>
      <w:tr>
        <w:trPr>
          <w:cantSplit w:val="0"/>
          <w:trHeight w:val="780" w:hRule="atLeast"/>
          <w:tblHeader w:val="0"/>
        </w:trPr>
        <w:tc>
          <w:tcPr>
            <w:tcBorders>
              <w:top w:color="cccccc" w:space="0" w:sz="6" w:val="single"/>
              <w:left w:color="cccccc" w:space="0" w:sz="6" w:val="single"/>
              <w:bottom w:color="cccccc" w:space="0" w:sz="6" w:val="single"/>
              <w:right w:color="cccccc" w:space="0" w:sz="6" w:val="single"/>
            </w:tcBorders>
            <w:shd w:fill="f2f7fc" w:val="clear"/>
            <w:tcMar>
              <w:top w:w="80.0" w:type="dxa"/>
              <w:left w:w="120.0" w:type="dxa"/>
              <w:bottom w:w="80.0" w:type="dxa"/>
              <w:right w:w="120.0" w:type="dxa"/>
            </w:tcMar>
          </w:tcPr>
          <w:p w:rsidR="00000000" w:rsidDel="00000000" w:rsidP="00000000" w:rsidRDefault="00000000" w:rsidRPr="00000000" w14:paraId="0000003E">
            <w:pPr>
              <w:spacing w:after="0" w:before="0" w:line="240" w:lineRule="auto"/>
              <w:rPr>
                <w:sz w:val="20"/>
                <w:szCs w:val="20"/>
              </w:rPr>
            </w:pPr>
            <w:r w:rsidDel="00000000" w:rsidR="00000000" w:rsidRPr="00000000">
              <w:rPr>
                <w:sz w:val="20"/>
                <w:szCs w:val="20"/>
                <w:rtl w:val="0"/>
              </w:rPr>
              <w:t xml:space="preserve">Bachelor's Degree Rate (%)</w:t>
            </w:r>
          </w:p>
        </w:tc>
        <w:tc>
          <w:tcPr>
            <w:tcBorders>
              <w:top w:color="cccccc" w:space="0" w:sz="6" w:val="single"/>
              <w:left w:color="cccccc" w:space="0" w:sz="6" w:val="single"/>
              <w:bottom w:color="cccccc" w:space="0" w:sz="6" w:val="single"/>
              <w:right w:color="cccccc" w:space="0" w:sz="6" w:val="single"/>
            </w:tcBorders>
            <w:shd w:fill="f2f7fc" w:val="clear"/>
            <w:tcMar>
              <w:top w:w="80.0" w:type="dxa"/>
              <w:left w:w="120.0" w:type="dxa"/>
              <w:bottom w:w="80.0" w:type="dxa"/>
              <w:right w:w="120.0" w:type="dxa"/>
            </w:tcMar>
          </w:tcPr>
          <w:p w:rsidR="00000000" w:rsidDel="00000000" w:rsidP="00000000" w:rsidRDefault="00000000" w:rsidRPr="00000000" w14:paraId="0000003F">
            <w:pPr>
              <w:spacing w:after="0" w:before="0" w:line="240" w:lineRule="auto"/>
              <w:rPr>
                <w:sz w:val="20"/>
                <w:szCs w:val="20"/>
              </w:rPr>
            </w:pPr>
            <w:r w:rsidDel="00000000" w:rsidR="00000000" w:rsidRPr="00000000">
              <w:rPr>
                <w:sz w:val="20"/>
                <w:szCs w:val="20"/>
                <w:rtl w:val="0"/>
              </w:rPr>
              <w:t xml:space="preserve">27.42</w:t>
            </w:r>
          </w:p>
        </w:tc>
        <w:tc>
          <w:tcPr>
            <w:tcBorders>
              <w:top w:color="cccccc" w:space="0" w:sz="6" w:val="single"/>
              <w:left w:color="cccccc" w:space="0" w:sz="6" w:val="single"/>
              <w:bottom w:color="cccccc" w:space="0" w:sz="6" w:val="single"/>
              <w:right w:color="cccccc" w:space="0" w:sz="6" w:val="single"/>
            </w:tcBorders>
            <w:shd w:fill="f2f7fc" w:val="clear"/>
            <w:tcMar>
              <w:top w:w="80.0" w:type="dxa"/>
              <w:left w:w="120.0" w:type="dxa"/>
              <w:bottom w:w="80.0" w:type="dxa"/>
              <w:right w:w="120.0" w:type="dxa"/>
            </w:tcMar>
          </w:tcPr>
          <w:p w:rsidR="00000000" w:rsidDel="00000000" w:rsidP="00000000" w:rsidRDefault="00000000" w:rsidRPr="00000000" w14:paraId="00000040">
            <w:pPr>
              <w:spacing w:after="0" w:before="0" w:line="240" w:lineRule="auto"/>
              <w:rPr>
                <w:sz w:val="20"/>
                <w:szCs w:val="20"/>
              </w:rPr>
            </w:pPr>
            <w:r w:rsidDel="00000000" w:rsidR="00000000" w:rsidRPr="00000000">
              <w:rPr>
                <w:sz w:val="20"/>
                <w:szCs w:val="20"/>
                <w:rtl w:val="0"/>
              </w:rPr>
              <w:t xml:space="preserve">8.45</w:t>
            </w:r>
          </w:p>
        </w:tc>
        <w:tc>
          <w:tcPr>
            <w:tcBorders>
              <w:top w:color="cccccc" w:space="0" w:sz="6" w:val="single"/>
              <w:left w:color="cccccc" w:space="0" w:sz="6" w:val="single"/>
              <w:bottom w:color="cccccc" w:space="0" w:sz="6" w:val="single"/>
              <w:right w:color="cccccc" w:space="0" w:sz="6" w:val="single"/>
            </w:tcBorders>
            <w:shd w:fill="f2f7fc" w:val="clear"/>
            <w:tcMar>
              <w:top w:w="80.0" w:type="dxa"/>
              <w:left w:w="120.0" w:type="dxa"/>
              <w:bottom w:w="80.0" w:type="dxa"/>
              <w:right w:w="120.0" w:type="dxa"/>
            </w:tcMar>
          </w:tcPr>
          <w:p w:rsidR="00000000" w:rsidDel="00000000" w:rsidP="00000000" w:rsidRDefault="00000000" w:rsidRPr="00000000" w14:paraId="00000041">
            <w:pPr>
              <w:spacing w:after="0" w:before="0" w:line="240" w:lineRule="auto"/>
              <w:rPr>
                <w:sz w:val="20"/>
                <w:szCs w:val="20"/>
              </w:rPr>
            </w:pPr>
            <w:r w:rsidDel="00000000" w:rsidR="00000000" w:rsidRPr="00000000">
              <w:rPr>
                <w:sz w:val="20"/>
                <w:szCs w:val="20"/>
                <w:rtl w:val="0"/>
              </w:rPr>
              <w:t xml:space="preserve">17.61</w:t>
            </w:r>
          </w:p>
        </w:tc>
        <w:tc>
          <w:tcPr>
            <w:tcBorders>
              <w:top w:color="cccccc" w:space="0" w:sz="6" w:val="single"/>
              <w:left w:color="cccccc" w:space="0" w:sz="6" w:val="single"/>
              <w:bottom w:color="cccccc" w:space="0" w:sz="6" w:val="single"/>
              <w:right w:color="cccccc" w:space="0" w:sz="6" w:val="single"/>
            </w:tcBorders>
            <w:shd w:fill="f2f7fc" w:val="clear"/>
            <w:tcMar>
              <w:top w:w="80.0" w:type="dxa"/>
              <w:left w:w="120.0" w:type="dxa"/>
              <w:bottom w:w="80.0" w:type="dxa"/>
              <w:right w:w="120.0" w:type="dxa"/>
            </w:tcMar>
          </w:tcPr>
          <w:p w:rsidR="00000000" w:rsidDel="00000000" w:rsidP="00000000" w:rsidRDefault="00000000" w:rsidRPr="00000000" w14:paraId="00000042">
            <w:pPr>
              <w:spacing w:after="0" w:before="0" w:line="240" w:lineRule="auto"/>
              <w:rPr>
                <w:sz w:val="20"/>
                <w:szCs w:val="20"/>
              </w:rPr>
            </w:pPr>
            <w:r w:rsidDel="00000000" w:rsidR="00000000" w:rsidRPr="00000000">
              <w:rPr>
                <w:sz w:val="20"/>
                <w:szCs w:val="20"/>
                <w:rtl w:val="0"/>
              </w:rPr>
              <w:t xml:space="preserve">63.60</w:t>
            </w:r>
          </w:p>
        </w:tc>
      </w:tr>
      <w:tr>
        <w:trPr>
          <w:cantSplit w:val="0"/>
          <w:trHeight w:val="255" w:hRule="atLeast"/>
          <w:tblHeader w:val="0"/>
        </w:trPr>
        <w:tc>
          <w:tcPr>
            <w:tcBorders>
              <w:top w:color="cccccc" w:space="0" w:sz="6" w:val="single"/>
              <w:left w:color="cccccc" w:space="0" w:sz="6" w:val="single"/>
              <w:bottom w:color="cccccc" w:space="0" w:sz="6" w:val="single"/>
              <w:right w:color="cccccc" w:space="0" w:sz="6" w:val="single"/>
            </w:tcBorders>
            <w:shd w:fill="ffffff" w:val="clear"/>
            <w:tcMar>
              <w:top w:w="80.0" w:type="dxa"/>
              <w:left w:w="120.0" w:type="dxa"/>
              <w:bottom w:w="80.0" w:type="dxa"/>
              <w:right w:w="120.0" w:type="dxa"/>
            </w:tcMar>
          </w:tcPr>
          <w:p w:rsidR="00000000" w:rsidDel="00000000" w:rsidP="00000000" w:rsidRDefault="00000000" w:rsidRPr="00000000" w14:paraId="00000043">
            <w:pPr>
              <w:spacing w:after="0" w:before="0" w:line="240" w:lineRule="auto"/>
              <w:rPr>
                <w:sz w:val="20"/>
                <w:szCs w:val="20"/>
              </w:rPr>
            </w:pPr>
            <w:r w:rsidDel="00000000" w:rsidR="00000000" w:rsidRPr="00000000">
              <w:rPr>
                <w:sz w:val="20"/>
                <w:szCs w:val="20"/>
                <w:rtl w:val="0"/>
              </w:rPr>
              <w:t xml:space="preserve">Dropout Rate (%)</w:t>
            </w:r>
          </w:p>
        </w:tc>
        <w:tc>
          <w:tcPr>
            <w:tcBorders>
              <w:top w:color="cccccc" w:space="0" w:sz="6" w:val="single"/>
              <w:left w:color="cccccc" w:space="0" w:sz="6" w:val="single"/>
              <w:bottom w:color="cccccc" w:space="0" w:sz="6" w:val="single"/>
              <w:right w:color="cccccc" w:space="0" w:sz="6" w:val="single"/>
            </w:tcBorders>
            <w:shd w:fill="ffffff" w:val="clear"/>
            <w:tcMar>
              <w:top w:w="80.0" w:type="dxa"/>
              <w:left w:w="120.0" w:type="dxa"/>
              <w:bottom w:w="80.0" w:type="dxa"/>
              <w:right w:w="120.0" w:type="dxa"/>
            </w:tcMar>
          </w:tcPr>
          <w:p w:rsidR="00000000" w:rsidDel="00000000" w:rsidP="00000000" w:rsidRDefault="00000000" w:rsidRPr="00000000" w14:paraId="00000044">
            <w:pPr>
              <w:spacing w:after="0" w:before="0" w:line="240" w:lineRule="auto"/>
              <w:rPr>
                <w:sz w:val="20"/>
                <w:szCs w:val="20"/>
              </w:rPr>
            </w:pPr>
            <w:r w:rsidDel="00000000" w:rsidR="00000000" w:rsidRPr="00000000">
              <w:rPr>
                <w:sz w:val="20"/>
                <w:szCs w:val="20"/>
                <w:rtl w:val="0"/>
              </w:rPr>
              <w:t xml:space="preserve">12.44</w:t>
            </w:r>
          </w:p>
        </w:tc>
        <w:tc>
          <w:tcPr>
            <w:tcBorders>
              <w:top w:color="cccccc" w:space="0" w:sz="6" w:val="single"/>
              <w:left w:color="cccccc" w:space="0" w:sz="6" w:val="single"/>
              <w:bottom w:color="cccccc" w:space="0" w:sz="6" w:val="single"/>
              <w:right w:color="cccccc" w:space="0" w:sz="6" w:val="single"/>
            </w:tcBorders>
            <w:tcMar>
              <w:top w:w="80.0" w:type="dxa"/>
              <w:left w:w="120.0" w:type="dxa"/>
              <w:bottom w:w="80.0" w:type="dxa"/>
              <w:right w:w="120.0" w:type="dxa"/>
            </w:tcMar>
          </w:tcPr>
          <w:p w:rsidR="00000000" w:rsidDel="00000000" w:rsidP="00000000" w:rsidRDefault="00000000" w:rsidRPr="00000000" w14:paraId="00000045">
            <w:pPr>
              <w:spacing w:after="0" w:before="0" w:line="240" w:lineRule="auto"/>
              <w:rPr>
                <w:sz w:val="20"/>
                <w:szCs w:val="20"/>
              </w:rPr>
            </w:pPr>
            <w:r w:rsidDel="00000000" w:rsidR="00000000" w:rsidRPr="00000000">
              <w:rPr>
                <w:sz w:val="20"/>
                <w:szCs w:val="20"/>
                <w:rtl w:val="0"/>
              </w:rPr>
              <w:t xml:space="preserve">5.92</w:t>
            </w:r>
          </w:p>
        </w:tc>
        <w:tc>
          <w:tcPr>
            <w:tcBorders>
              <w:top w:color="cccccc" w:space="0" w:sz="6" w:val="single"/>
              <w:left w:color="cccccc" w:space="0" w:sz="6" w:val="single"/>
              <w:bottom w:color="cccccc" w:space="0" w:sz="6" w:val="single"/>
              <w:right w:color="cccccc" w:space="0" w:sz="6" w:val="single"/>
            </w:tcBorders>
            <w:tcMar>
              <w:top w:w="80.0" w:type="dxa"/>
              <w:left w:w="120.0" w:type="dxa"/>
              <w:bottom w:w="80.0" w:type="dxa"/>
              <w:right w:w="120.0" w:type="dxa"/>
            </w:tcMar>
          </w:tcPr>
          <w:p w:rsidR="00000000" w:rsidDel="00000000" w:rsidP="00000000" w:rsidRDefault="00000000" w:rsidRPr="00000000" w14:paraId="00000046">
            <w:pPr>
              <w:spacing w:after="0" w:before="0" w:line="240" w:lineRule="auto"/>
              <w:rPr>
                <w:sz w:val="20"/>
                <w:szCs w:val="20"/>
              </w:rPr>
            </w:pPr>
            <w:r w:rsidDel="00000000" w:rsidR="00000000" w:rsidRPr="00000000">
              <w:rPr>
                <w:sz w:val="20"/>
                <w:szCs w:val="20"/>
                <w:rtl w:val="0"/>
              </w:rPr>
              <w:t xml:space="preserve">4.96</w:t>
            </w:r>
          </w:p>
        </w:tc>
        <w:tc>
          <w:tcPr>
            <w:tcBorders>
              <w:top w:color="cccccc" w:space="0" w:sz="6" w:val="single"/>
              <w:left w:color="cccccc" w:space="0" w:sz="6" w:val="single"/>
              <w:bottom w:color="cccccc" w:space="0" w:sz="6" w:val="single"/>
              <w:right w:color="cccccc" w:space="0" w:sz="6" w:val="single"/>
            </w:tcBorders>
            <w:tcMar>
              <w:top w:w="80.0" w:type="dxa"/>
              <w:left w:w="120.0" w:type="dxa"/>
              <w:bottom w:w="80.0" w:type="dxa"/>
              <w:right w:w="120.0" w:type="dxa"/>
            </w:tcMar>
          </w:tcPr>
          <w:p w:rsidR="00000000" w:rsidDel="00000000" w:rsidP="00000000" w:rsidRDefault="00000000" w:rsidRPr="00000000" w14:paraId="00000047">
            <w:pPr>
              <w:spacing w:after="0" w:before="0" w:line="240" w:lineRule="auto"/>
              <w:rPr>
                <w:sz w:val="20"/>
                <w:szCs w:val="20"/>
              </w:rPr>
            </w:pPr>
            <w:r w:rsidDel="00000000" w:rsidR="00000000" w:rsidRPr="00000000">
              <w:rPr>
                <w:sz w:val="20"/>
                <w:szCs w:val="20"/>
                <w:rtl w:val="0"/>
              </w:rPr>
              <w:t xml:space="preserve">39.22</w:t>
            </w:r>
          </w:p>
        </w:tc>
      </w:tr>
    </w:tbl>
    <w:p w:rsidR="00000000" w:rsidDel="00000000" w:rsidP="00000000" w:rsidRDefault="00000000" w:rsidRPr="00000000" w14:paraId="00000048">
      <w:pPr>
        <w:spacing w:after="120" w:before="300" w:lineRule="auto"/>
        <w:rPr/>
      </w:pPr>
      <w:r w:rsidDel="00000000" w:rsidR="00000000" w:rsidRPr="00000000">
        <w:rPr>
          <w:b w:val="1"/>
          <w:bCs w:val="1"/>
          <w:rtl w:val="0"/>
        </w:rPr>
        <w:t xml:space="preserve">Table 1:</w:t>
      </w:r>
      <w:r w:rsidDel="00000000" w:rsidR="00000000" w:rsidRPr="00000000">
        <w:rPr>
          <w:rtl w:val="0"/>
        </w:rPr>
        <w:t xml:space="preserve"> Descriptive statistics for fused state-level dataset. (n = 52, 2022-2023).</w:t>
      </w:r>
    </w:p>
    <w:p w:rsidR="00000000" w:rsidDel="00000000" w:rsidP="00000000" w:rsidRDefault="00000000" w:rsidRPr="00000000" w14:paraId="00000049">
      <w:pPr>
        <w:spacing w:after="120" w:before="300" w:lineRule="auto"/>
        <w:rPr/>
      </w:pPr>
      <w:r w:rsidDel="00000000" w:rsidR="00000000" w:rsidRPr="00000000">
        <w:rPr>
          <w:rtl w:val="0"/>
        </w:rPr>
      </w:r>
    </w:p>
    <w:p w:rsidR="00000000" w:rsidDel="00000000" w:rsidP="00000000" w:rsidRDefault="00000000" w:rsidRPr="00000000" w14:paraId="0000004A">
      <w:pPr>
        <w:spacing w:after="120" w:before="300" w:lineRule="auto"/>
        <w:rPr>
          <w:b w:val="1"/>
          <w:bCs w:val="1"/>
          <w:color w:val="3d85c6"/>
          <w:sz w:val="24"/>
          <w:szCs w:val="24"/>
        </w:rPr>
      </w:pPr>
      <w:r w:rsidDel="00000000" w:rsidR="00000000" w:rsidRPr="00000000">
        <w:rPr>
          <w:b w:val="1"/>
          <w:bCs w:val="1"/>
          <w:color w:val="3d85c6"/>
          <w:sz w:val="24"/>
          <w:szCs w:val="24"/>
          <w:rtl w:val="0"/>
        </w:rPr>
        <w:t xml:space="preserve">4.2 Correlation Analysis</w:t>
      </w:r>
    </w:p>
    <w:p w:rsidR="00000000" w:rsidDel="00000000" w:rsidP="00000000" w:rsidRDefault="00000000" w:rsidRPr="00000000" w14:paraId="0000004B">
      <w:pPr>
        <w:spacing w:after="160" w:before="240" w:lineRule="auto"/>
        <w:jc w:val="both"/>
        <w:rPr>
          <w:sz w:val="24"/>
          <w:szCs w:val="24"/>
        </w:rPr>
      </w:pPr>
      <w:r w:rsidDel="00000000" w:rsidR="00000000" w:rsidRPr="00000000">
        <w:rPr>
          <w:sz w:val="24"/>
          <w:szCs w:val="24"/>
          <w:rtl w:val="0"/>
        </w:rPr>
        <w:t xml:space="preserve">Tables 2 and 3 show Pearson correlations between each socioeconomic predictor and dropout_rate.</w:t>
      </w:r>
    </w:p>
    <w:tbl>
      <w:tblPr>
        <w:tblStyle w:val="Table2"/>
        <w:tblpPr w:leftFromText="180" w:rightFromText="180" w:topFromText="144" w:bottomFromText="180" w:vertAnchor="text" w:horzAnchor="text" w:tblpX="0" w:tblpY="0"/>
        <w:tblW w:w="87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20"/>
        <w:gridCol w:w="3180"/>
        <w:gridCol w:w="3060"/>
        <w:tblGridChange w:id="0">
          <w:tblGrid>
            <w:gridCol w:w="2520"/>
            <w:gridCol w:w="3180"/>
            <w:gridCol w:w="3060"/>
          </w:tblGrid>
        </w:tblGridChange>
      </w:tblGrid>
      <w:tr>
        <w:trPr>
          <w:cantSplit w:val="0"/>
          <w:trHeight w:val="978.0000000000001" w:hRule="atLeast"/>
          <w:tblHeader w:val="0"/>
        </w:trPr>
        <w:tc>
          <w:tcPr>
            <w:tcBorders>
              <w:top w:color="cccccc" w:space="0" w:sz="6" w:val="single"/>
              <w:left w:color="cccccc" w:space="0" w:sz="6" w:val="single"/>
              <w:bottom w:color="cccccc" w:space="0" w:sz="6" w:val="single"/>
              <w:right w:color="cccccc" w:space="0" w:sz="6" w:val="single"/>
            </w:tcBorders>
            <w:shd w:fill="2e75b6" w:val="clear"/>
            <w:tcMar>
              <w:top w:w="80.0" w:type="dxa"/>
              <w:left w:w="120.0" w:type="dxa"/>
              <w:bottom w:w="80.0" w:type="dxa"/>
              <w:right w:w="120.0" w:type="dxa"/>
            </w:tcMar>
          </w:tcPr>
          <w:p w:rsidR="00000000" w:rsidDel="00000000" w:rsidP="00000000" w:rsidRDefault="00000000" w:rsidRPr="00000000" w14:paraId="0000004C">
            <w:pPr>
              <w:spacing w:line="240" w:lineRule="auto"/>
              <w:rPr>
                <w:b w:val="1"/>
                <w:bCs w:val="1"/>
                <w:color w:val="ffffff"/>
                <w:sz w:val="20"/>
                <w:szCs w:val="20"/>
              </w:rPr>
            </w:pPr>
            <w:r w:rsidDel="00000000" w:rsidR="00000000" w:rsidRPr="00000000">
              <w:rPr>
                <w:b w:val="1"/>
                <w:bCs w:val="1"/>
                <w:color w:val="ffffff"/>
                <w:sz w:val="20"/>
                <w:szCs w:val="20"/>
                <w:rtl w:val="0"/>
              </w:rPr>
              <w:t xml:space="preserve">Feature</w:t>
            </w:r>
          </w:p>
        </w:tc>
        <w:tc>
          <w:tcPr>
            <w:tcBorders>
              <w:top w:color="cccccc" w:space="0" w:sz="6" w:val="single"/>
              <w:left w:color="cccccc" w:space="0" w:sz="6" w:val="single"/>
              <w:bottom w:color="cccccc" w:space="0" w:sz="6" w:val="single"/>
              <w:right w:color="cccccc" w:space="0" w:sz="6" w:val="single"/>
            </w:tcBorders>
            <w:shd w:fill="2e75b6" w:val="clear"/>
            <w:tcMar>
              <w:top w:w="80.0" w:type="dxa"/>
              <w:left w:w="120.0" w:type="dxa"/>
              <w:bottom w:w="80.0" w:type="dxa"/>
              <w:right w:w="120.0" w:type="dxa"/>
            </w:tcMar>
          </w:tcPr>
          <w:p w:rsidR="00000000" w:rsidDel="00000000" w:rsidP="00000000" w:rsidRDefault="00000000" w:rsidRPr="00000000" w14:paraId="0000004D">
            <w:pPr>
              <w:spacing w:line="240" w:lineRule="auto"/>
              <w:rPr>
                <w:b w:val="1"/>
                <w:bCs w:val="1"/>
                <w:color w:val="ffffff"/>
                <w:sz w:val="20"/>
                <w:szCs w:val="20"/>
              </w:rPr>
            </w:pPr>
            <w:r w:rsidDel="00000000" w:rsidR="00000000" w:rsidRPr="00000000">
              <w:rPr>
                <w:b w:val="1"/>
                <w:bCs w:val="1"/>
                <w:color w:val="ffffff"/>
                <w:sz w:val="20"/>
                <w:szCs w:val="20"/>
                <w:rtl w:val="0"/>
              </w:rPr>
              <w:t xml:space="preserve">Correlation with Dropout Rate</w:t>
            </w:r>
          </w:p>
        </w:tc>
        <w:tc>
          <w:tcPr>
            <w:tcBorders>
              <w:top w:color="cccccc" w:space="0" w:sz="6" w:val="single"/>
              <w:left w:color="cccccc" w:space="0" w:sz="6" w:val="single"/>
              <w:bottom w:color="cccccc" w:space="0" w:sz="6" w:val="single"/>
              <w:right w:color="cccccc" w:space="0" w:sz="6" w:val="single"/>
            </w:tcBorders>
            <w:shd w:fill="2e75b6" w:val="clear"/>
            <w:tcMar>
              <w:top w:w="80.0" w:type="dxa"/>
              <w:left w:w="120.0" w:type="dxa"/>
              <w:bottom w:w="80.0" w:type="dxa"/>
              <w:right w:w="120.0" w:type="dxa"/>
            </w:tcMar>
          </w:tcPr>
          <w:p w:rsidR="00000000" w:rsidDel="00000000" w:rsidP="00000000" w:rsidRDefault="00000000" w:rsidRPr="00000000" w14:paraId="0000004E">
            <w:pPr>
              <w:spacing w:line="240" w:lineRule="auto"/>
              <w:rPr>
                <w:b w:val="1"/>
                <w:bCs w:val="1"/>
                <w:color w:val="ffffff"/>
                <w:sz w:val="20"/>
                <w:szCs w:val="20"/>
              </w:rPr>
            </w:pPr>
            <w:r w:rsidDel="00000000" w:rsidR="00000000" w:rsidRPr="00000000">
              <w:rPr>
                <w:b w:val="1"/>
                <w:bCs w:val="1"/>
                <w:color w:val="ffffff"/>
                <w:sz w:val="20"/>
                <w:szCs w:val="20"/>
                <w:rtl w:val="0"/>
              </w:rPr>
              <w:t xml:space="preserve">Interpretation</w:t>
            </w:r>
          </w:p>
        </w:tc>
      </w:tr>
      <w:tr>
        <w:trPr>
          <w:cantSplit w:val="0"/>
          <w:trHeight w:val="585" w:hRule="atLeast"/>
          <w:tblHeader w:val="0"/>
        </w:trPr>
        <w:tc>
          <w:tcPr>
            <w:tcBorders>
              <w:top w:color="cccccc" w:space="0" w:sz="6" w:val="single"/>
              <w:left w:color="cccccc" w:space="0" w:sz="6" w:val="single"/>
              <w:bottom w:color="cccccc" w:space="0" w:sz="6" w:val="single"/>
              <w:right w:color="cccccc" w:space="0" w:sz="6" w:val="single"/>
            </w:tcBorders>
            <w:shd w:fill="f2f7fc" w:val="clear"/>
            <w:tcMar>
              <w:top w:w="80.0" w:type="dxa"/>
              <w:left w:w="120.0" w:type="dxa"/>
              <w:bottom w:w="80.0" w:type="dxa"/>
              <w:right w:w="120.0" w:type="dxa"/>
            </w:tcMar>
          </w:tcPr>
          <w:p w:rsidR="00000000" w:rsidDel="00000000" w:rsidP="00000000" w:rsidRDefault="00000000" w:rsidRPr="00000000" w14:paraId="0000004F">
            <w:pPr>
              <w:spacing w:line="240" w:lineRule="auto"/>
              <w:rPr>
                <w:sz w:val="20"/>
                <w:szCs w:val="20"/>
              </w:rPr>
            </w:pPr>
            <w:r w:rsidDel="00000000" w:rsidR="00000000" w:rsidRPr="00000000">
              <w:rPr>
                <w:sz w:val="20"/>
                <w:szCs w:val="20"/>
                <w:rtl w:val="0"/>
              </w:rPr>
              <w:t xml:space="preserve">Poverty Rate (%)</w:t>
            </w:r>
          </w:p>
        </w:tc>
        <w:tc>
          <w:tcPr>
            <w:tcBorders>
              <w:top w:color="cccccc" w:space="0" w:sz="6" w:val="single"/>
              <w:left w:color="cccccc" w:space="0" w:sz="6" w:val="single"/>
              <w:bottom w:color="cccccc" w:space="0" w:sz="6" w:val="single"/>
              <w:right w:color="cccccc" w:space="0" w:sz="6" w:val="single"/>
            </w:tcBorders>
            <w:shd w:fill="f2f7fc" w:val="clear"/>
            <w:tcMar>
              <w:top w:w="80.0" w:type="dxa"/>
              <w:left w:w="120.0" w:type="dxa"/>
              <w:bottom w:w="80.0" w:type="dxa"/>
              <w:right w:w="120.0" w:type="dxa"/>
            </w:tcMar>
          </w:tcPr>
          <w:p w:rsidR="00000000" w:rsidDel="00000000" w:rsidP="00000000" w:rsidRDefault="00000000" w:rsidRPr="00000000" w14:paraId="00000050">
            <w:pPr>
              <w:spacing w:line="240" w:lineRule="auto"/>
              <w:rPr>
                <w:sz w:val="20"/>
                <w:szCs w:val="20"/>
              </w:rPr>
            </w:pPr>
            <w:r w:rsidDel="00000000" w:rsidR="00000000" w:rsidRPr="00000000">
              <w:rPr>
                <w:sz w:val="20"/>
                <w:szCs w:val="20"/>
                <w:rtl w:val="0"/>
              </w:rPr>
              <w:t xml:space="preserve">r = 0.1647</w:t>
            </w:r>
          </w:p>
        </w:tc>
        <w:tc>
          <w:tcPr>
            <w:tcBorders>
              <w:top w:color="cccccc" w:space="0" w:sz="6" w:val="single"/>
              <w:left w:color="cccccc" w:space="0" w:sz="6" w:val="single"/>
              <w:bottom w:color="cccccc" w:space="0" w:sz="6" w:val="single"/>
              <w:right w:color="cccccc" w:space="0" w:sz="6" w:val="single"/>
            </w:tcBorders>
            <w:shd w:fill="f2f7fc" w:val="clear"/>
            <w:tcMar>
              <w:top w:w="80.0" w:type="dxa"/>
              <w:left w:w="120.0" w:type="dxa"/>
              <w:bottom w:w="80.0" w:type="dxa"/>
              <w:right w:w="120.0" w:type="dxa"/>
            </w:tcMar>
          </w:tcPr>
          <w:p w:rsidR="00000000" w:rsidDel="00000000" w:rsidP="00000000" w:rsidRDefault="00000000" w:rsidRPr="00000000" w14:paraId="00000051">
            <w:pPr>
              <w:spacing w:line="240" w:lineRule="auto"/>
              <w:rPr>
                <w:sz w:val="20"/>
                <w:szCs w:val="20"/>
              </w:rPr>
            </w:pPr>
            <w:r w:rsidDel="00000000" w:rsidR="00000000" w:rsidRPr="00000000">
              <w:rPr>
                <w:sz w:val="20"/>
                <w:szCs w:val="20"/>
                <w:rtl w:val="0"/>
              </w:rPr>
              <w:t xml:space="preserve">Weak positive — higher poverty, slightly higher dropout</w:t>
            </w:r>
          </w:p>
        </w:tc>
      </w:tr>
      <w:tr>
        <w:trPr>
          <w:cantSplit w:val="0"/>
          <w:trHeight w:val="585" w:hRule="atLeast"/>
          <w:tblHeader w:val="0"/>
        </w:trPr>
        <w:tc>
          <w:tcPr>
            <w:tcBorders>
              <w:top w:color="cccccc" w:space="0" w:sz="6" w:val="single"/>
              <w:left w:color="cccccc" w:space="0" w:sz="6" w:val="single"/>
              <w:bottom w:color="cccccc" w:space="0" w:sz="6" w:val="single"/>
              <w:right w:color="cccccc" w:space="0" w:sz="6" w:val="single"/>
            </w:tcBorders>
            <w:shd w:fill="ffffff" w:val="clear"/>
            <w:tcMar>
              <w:top w:w="80.0" w:type="dxa"/>
              <w:left w:w="120.0" w:type="dxa"/>
              <w:bottom w:w="80.0" w:type="dxa"/>
              <w:right w:w="120.0" w:type="dxa"/>
            </w:tcMar>
          </w:tcPr>
          <w:p w:rsidR="00000000" w:rsidDel="00000000" w:rsidP="00000000" w:rsidRDefault="00000000" w:rsidRPr="00000000" w14:paraId="00000052">
            <w:pPr>
              <w:spacing w:line="240" w:lineRule="auto"/>
              <w:rPr>
                <w:sz w:val="20"/>
                <w:szCs w:val="20"/>
              </w:rPr>
            </w:pPr>
            <w:r w:rsidDel="00000000" w:rsidR="00000000" w:rsidRPr="00000000">
              <w:rPr>
                <w:sz w:val="20"/>
                <w:szCs w:val="20"/>
                <w:rtl w:val="0"/>
              </w:rPr>
              <w:t xml:space="preserve">Median Income ($)</w:t>
            </w:r>
          </w:p>
        </w:tc>
        <w:tc>
          <w:tcPr>
            <w:tcBorders>
              <w:top w:color="cccccc" w:space="0" w:sz="6" w:val="single"/>
              <w:left w:color="cccccc" w:space="0" w:sz="6" w:val="single"/>
              <w:bottom w:color="cccccc" w:space="0" w:sz="6" w:val="single"/>
              <w:right w:color="cccccc" w:space="0" w:sz="6" w:val="single"/>
            </w:tcBorders>
            <w:shd w:fill="ffffff" w:val="clear"/>
            <w:tcMar>
              <w:top w:w="80.0" w:type="dxa"/>
              <w:left w:w="120.0" w:type="dxa"/>
              <w:bottom w:w="80.0" w:type="dxa"/>
              <w:right w:w="120.0" w:type="dxa"/>
            </w:tcMar>
          </w:tcPr>
          <w:p w:rsidR="00000000" w:rsidDel="00000000" w:rsidP="00000000" w:rsidRDefault="00000000" w:rsidRPr="00000000" w14:paraId="00000053">
            <w:pPr>
              <w:spacing w:line="240" w:lineRule="auto"/>
              <w:rPr>
                <w:sz w:val="20"/>
                <w:szCs w:val="20"/>
              </w:rPr>
            </w:pPr>
            <w:r w:rsidDel="00000000" w:rsidR="00000000" w:rsidRPr="00000000">
              <w:rPr>
                <w:sz w:val="20"/>
                <w:szCs w:val="20"/>
                <w:rtl w:val="0"/>
              </w:rPr>
              <w:t xml:space="preserve">r = 0.1177</w:t>
            </w:r>
          </w:p>
        </w:tc>
        <w:tc>
          <w:tcPr>
            <w:tcBorders>
              <w:top w:color="cccccc" w:space="0" w:sz="6" w:val="single"/>
              <w:left w:color="cccccc" w:space="0" w:sz="6" w:val="single"/>
              <w:bottom w:color="cccccc" w:space="0" w:sz="6" w:val="single"/>
              <w:right w:color="cccccc" w:space="0" w:sz="6" w:val="single"/>
            </w:tcBorders>
            <w:shd w:fill="ffffff" w:val="clear"/>
            <w:tcMar>
              <w:top w:w="80.0" w:type="dxa"/>
              <w:left w:w="120.0" w:type="dxa"/>
              <w:bottom w:w="80.0" w:type="dxa"/>
              <w:right w:w="120.0" w:type="dxa"/>
            </w:tcMar>
          </w:tcPr>
          <w:p w:rsidR="00000000" w:rsidDel="00000000" w:rsidP="00000000" w:rsidRDefault="00000000" w:rsidRPr="00000000" w14:paraId="00000054">
            <w:pPr>
              <w:spacing w:line="240" w:lineRule="auto"/>
              <w:rPr>
                <w:sz w:val="20"/>
                <w:szCs w:val="20"/>
              </w:rPr>
            </w:pPr>
            <w:r w:rsidDel="00000000" w:rsidR="00000000" w:rsidRPr="00000000">
              <w:rPr>
                <w:sz w:val="20"/>
                <w:szCs w:val="20"/>
                <w:rtl w:val="0"/>
              </w:rPr>
              <w:t xml:space="preserve">Weak positive — counterintuitive, driven by outliers</w:t>
            </w:r>
          </w:p>
        </w:tc>
      </w:tr>
      <w:tr>
        <w:trPr>
          <w:cantSplit w:val="0"/>
          <w:trHeight w:val="780" w:hRule="atLeast"/>
          <w:tblHeader w:val="0"/>
        </w:trPr>
        <w:tc>
          <w:tcPr>
            <w:tcBorders>
              <w:top w:color="cccccc" w:space="0" w:sz="6" w:val="single"/>
              <w:left w:color="cccccc" w:space="0" w:sz="6" w:val="single"/>
              <w:bottom w:color="cccccc" w:space="0" w:sz="6" w:val="single"/>
              <w:right w:color="cccccc" w:space="0" w:sz="6" w:val="single"/>
            </w:tcBorders>
            <w:shd w:fill="f2f7fc" w:val="clear"/>
            <w:tcMar>
              <w:top w:w="80.0" w:type="dxa"/>
              <w:left w:w="120.0" w:type="dxa"/>
              <w:bottom w:w="80.0" w:type="dxa"/>
              <w:right w:w="120.0" w:type="dxa"/>
            </w:tcMar>
          </w:tcPr>
          <w:p w:rsidR="00000000" w:rsidDel="00000000" w:rsidP="00000000" w:rsidRDefault="00000000" w:rsidRPr="00000000" w14:paraId="00000055">
            <w:pPr>
              <w:spacing w:line="240" w:lineRule="auto"/>
              <w:rPr>
                <w:sz w:val="20"/>
                <w:szCs w:val="20"/>
              </w:rPr>
            </w:pPr>
            <w:r w:rsidDel="00000000" w:rsidR="00000000" w:rsidRPr="00000000">
              <w:rPr>
                <w:sz w:val="20"/>
                <w:szCs w:val="20"/>
                <w:rtl w:val="0"/>
              </w:rPr>
              <w:t xml:space="preserve">Bachelor's Degree Rate (%)</w:t>
            </w:r>
          </w:p>
        </w:tc>
        <w:tc>
          <w:tcPr>
            <w:tcBorders>
              <w:top w:color="cccccc" w:space="0" w:sz="6" w:val="single"/>
              <w:left w:color="cccccc" w:space="0" w:sz="6" w:val="single"/>
              <w:bottom w:color="cccccc" w:space="0" w:sz="6" w:val="single"/>
              <w:right w:color="cccccc" w:space="0" w:sz="6" w:val="single"/>
            </w:tcBorders>
            <w:shd w:fill="f2f7fc" w:val="clear"/>
            <w:tcMar>
              <w:top w:w="80.0" w:type="dxa"/>
              <w:left w:w="120.0" w:type="dxa"/>
              <w:bottom w:w="80.0" w:type="dxa"/>
              <w:right w:w="120.0" w:type="dxa"/>
            </w:tcMar>
          </w:tcPr>
          <w:p w:rsidR="00000000" w:rsidDel="00000000" w:rsidP="00000000" w:rsidRDefault="00000000" w:rsidRPr="00000000" w14:paraId="00000056">
            <w:pPr>
              <w:spacing w:line="240" w:lineRule="auto"/>
              <w:rPr>
                <w:sz w:val="20"/>
                <w:szCs w:val="20"/>
              </w:rPr>
            </w:pPr>
            <w:r w:rsidDel="00000000" w:rsidR="00000000" w:rsidRPr="00000000">
              <w:rPr>
                <w:sz w:val="20"/>
                <w:szCs w:val="20"/>
                <w:rtl w:val="0"/>
              </w:rPr>
              <w:t xml:space="preserve">r = 0.3240</w:t>
            </w:r>
          </w:p>
        </w:tc>
        <w:tc>
          <w:tcPr>
            <w:tcBorders>
              <w:top w:color="cccccc" w:space="0" w:sz="6" w:val="single"/>
              <w:left w:color="cccccc" w:space="0" w:sz="6" w:val="single"/>
              <w:bottom w:color="cccccc" w:space="0" w:sz="6" w:val="single"/>
              <w:right w:color="cccccc" w:space="0" w:sz="6" w:val="single"/>
            </w:tcBorders>
            <w:shd w:fill="f2f7fc" w:val="clear"/>
            <w:tcMar>
              <w:top w:w="80.0" w:type="dxa"/>
              <w:left w:w="120.0" w:type="dxa"/>
              <w:bottom w:w="80.0" w:type="dxa"/>
              <w:right w:w="120.0" w:type="dxa"/>
            </w:tcMar>
          </w:tcPr>
          <w:p w:rsidR="00000000" w:rsidDel="00000000" w:rsidP="00000000" w:rsidRDefault="00000000" w:rsidRPr="00000000" w14:paraId="00000057">
            <w:pPr>
              <w:spacing w:line="240" w:lineRule="auto"/>
              <w:rPr>
                <w:sz w:val="20"/>
                <w:szCs w:val="20"/>
              </w:rPr>
            </w:pPr>
            <w:r w:rsidDel="00000000" w:rsidR="00000000" w:rsidRPr="00000000">
              <w:rPr>
                <w:sz w:val="20"/>
                <w:szCs w:val="20"/>
                <w:rtl w:val="0"/>
              </w:rPr>
              <w:t xml:space="preserve">Moderate positive — strongest single predictor</w:t>
            </w:r>
          </w:p>
        </w:tc>
      </w:tr>
      <w:tr>
        <w:trPr>
          <w:cantSplit w:val="0"/>
          <w:trHeight w:val="255" w:hRule="atLeast"/>
          <w:tblHeader w:val="0"/>
        </w:trPr>
        <w:tc>
          <w:tcPr>
            <w:tcBorders>
              <w:top w:color="cccccc" w:space="0" w:sz="6" w:val="single"/>
              <w:left w:color="cccccc" w:space="0" w:sz="6" w:val="single"/>
              <w:bottom w:color="cccccc" w:space="0" w:sz="6" w:val="single"/>
              <w:right w:color="cccccc" w:space="0" w:sz="6" w:val="single"/>
            </w:tcBorders>
            <w:shd w:fill="ffffff" w:val="clear"/>
            <w:tcMar>
              <w:top w:w="80.0" w:type="dxa"/>
              <w:left w:w="120.0" w:type="dxa"/>
              <w:bottom w:w="80.0" w:type="dxa"/>
              <w:right w:w="120.0" w:type="dxa"/>
            </w:tcMar>
          </w:tcPr>
          <w:p w:rsidR="00000000" w:rsidDel="00000000" w:rsidP="00000000" w:rsidRDefault="00000000" w:rsidRPr="00000000" w14:paraId="00000058">
            <w:pPr>
              <w:spacing w:line="240" w:lineRule="auto"/>
              <w:rPr>
                <w:sz w:val="20"/>
                <w:szCs w:val="20"/>
              </w:rPr>
            </w:pPr>
            <w:r w:rsidDel="00000000" w:rsidR="00000000" w:rsidRPr="00000000">
              <w:rPr>
                <w:sz w:val="20"/>
                <w:szCs w:val="20"/>
                <w:rtl w:val="0"/>
              </w:rPr>
              <w:t xml:space="preserve">Dropout Rate (%)</w:t>
            </w:r>
          </w:p>
        </w:tc>
        <w:tc>
          <w:tcPr>
            <w:tcBorders>
              <w:top w:color="cccccc" w:space="0" w:sz="6" w:val="single"/>
              <w:left w:color="cccccc" w:space="0" w:sz="6" w:val="single"/>
              <w:bottom w:color="cccccc" w:space="0" w:sz="6" w:val="single"/>
              <w:right w:color="cccccc" w:space="0" w:sz="6" w:val="single"/>
            </w:tcBorders>
            <w:shd w:fill="ffffff" w:val="clear"/>
            <w:tcMar>
              <w:top w:w="80.0" w:type="dxa"/>
              <w:left w:w="120.0" w:type="dxa"/>
              <w:bottom w:w="80.0" w:type="dxa"/>
              <w:right w:w="120.0" w:type="dxa"/>
            </w:tcMar>
          </w:tcPr>
          <w:p w:rsidR="00000000" w:rsidDel="00000000" w:rsidP="00000000" w:rsidRDefault="00000000" w:rsidRPr="00000000" w14:paraId="00000059">
            <w:pPr>
              <w:spacing w:line="240" w:lineRule="auto"/>
              <w:rPr>
                <w:sz w:val="20"/>
                <w:szCs w:val="20"/>
              </w:rPr>
            </w:pPr>
            <w:r w:rsidDel="00000000" w:rsidR="00000000" w:rsidRPr="00000000">
              <w:rPr>
                <w:sz w:val="20"/>
                <w:szCs w:val="20"/>
                <w:rtl w:val="0"/>
              </w:rPr>
              <w:t xml:space="preserve">r = 1.0000</w:t>
            </w:r>
          </w:p>
        </w:tc>
        <w:tc>
          <w:tcPr>
            <w:tcBorders>
              <w:top w:color="cccccc" w:space="0" w:sz="6" w:val="single"/>
              <w:left w:color="cccccc" w:space="0" w:sz="6" w:val="single"/>
              <w:bottom w:color="cccccc" w:space="0" w:sz="6" w:val="single"/>
              <w:right w:color="cccccc" w:space="0" w:sz="6" w:val="single"/>
            </w:tcBorders>
            <w:tcMar>
              <w:top w:w="80.0" w:type="dxa"/>
              <w:left w:w="120.0" w:type="dxa"/>
              <w:bottom w:w="80.0" w:type="dxa"/>
              <w:right w:w="120.0" w:type="dxa"/>
            </w:tcMar>
          </w:tcPr>
          <w:p w:rsidR="00000000" w:rsidDel="00000000" w:rsidP="00000000" w:rsidRDefault="00000000" w:rsidRPr="00000000" w14:paraId="0000005A">
            <w:pPr>
              <w:spacing w:line="240" w:lineRule="auto"/>
              <w:rPr>
                <w:sz w:val="20"/>
                <w:szCs w:val="20"/>
              </w:rPr>
            </w:pPr>
            <w:r w:rsidDel="00000000" w:rsidR="00000000" w:rsidRPr="00000000">
              <w:rPr>
                <w:sz w:val="20"/>
                <w:szCs w:val="20"/>
                <w:rtl w:val="0"/>
              </w:rPr>
              <w:t xml:space="preserve">-</w:t>
            </w:r>
          </w:p>
        </w:tc>
      </w:tr>
    </w:tbl>
    <w:p w:rsidR="00000000" w:rsidDel="00000000" w:rsidP="00000000" w:rsidRDefault="00000000" w:rsidRPr="00000000" w14:paraId="0000005B">
      <w:pPr>
        <w:spacing w:after="120" w:before="300" w:lineRule="auto"/>
        <w:rPr>
          <w:b w:val="1"/>
          <w:bCs w:val="1"/>
          <w:color w:val="3d85c6"/>
          <w:sz w:val="24"/>
          <w:szCs w:val="24"/>
        </w:rPr>
      </w:pPr>
      <w:r w:rsidDel="00000000" w:rsidR="00000000" w:rsidRPr="00000000">
        <w:rPr>
          <w:rtl w:val="0"/>
        </w:rPr>
      </w:r>
    </w:p>
    <w:p w:rsidR="00000000" w:rsidDel="00000000" w:rsidP="00000000" w:rsidRDefault="00000000" w:rsidRPr="00000000" w14:paraId="0000005C">
      <w:pPr>
        <w:spacing w:after="120" w:before="300" w:lineRule="auto"/>
        <w:rPr>
          <w:b w:val="1"/>
          <w:bCs w:val="1"/>
          <w:color w:val="3d85c6"/>
          <w:sz w:val="24"/>
          <w:szCs w:val="24"/>
        </w:rPr>
      </w:pPr>
      <w:r w:rsidDel="00000000" w:rsidR="00000000" w:rsidRPr="00000000">
        <w:rPr>
          <w:rtl w:val="0"/>
        </w:rPr>
      </w:r>
    </w:p>
    <w:p w:rsidR="00000000" w:rsidDel="00000000" w:rsidP="00000000" w:rsidRDefault="00000000" w:rsidRPr="00000000" w14:paraId="0000005D">
      <w:pPr>
        <w:spacing w:after="120" w:before="300" w:lineRule="auto"/>
        <w:rPr>
          <w:b w:val="1"/>
          <w:bCs w:val="1"/>
          <w:color w:val="3d85c6"/>
          <w:sz w:val="24"/>
          <w:szCs w:val="24"/>
        </w:rPr>
      </w:pPr>
      <w:r w:rsidDel="00000000" w:rsidR="00000000" w:rsidRPr="00000000">
        <w:rPr>
          <w:rtl w:val="0"/>
        </w:rPr>
      </w:r>
    </w:p>
    <w:p w:rsidR="00000000" w:rsidDel="00000000" w:rsidP="00000000" w:rsidRDefault="00000000" w:rsidRPr="00000000" w14:paraId="0000005E">
      <w:pPr>
        <w:spacing w:after="120" w:before="300" w:lineRule="auto"/>
        <w:rPr/>
      </w:pPr>
      <w:r w:rsidDel="00000000" w:rsidR="00000000" w:rsidRPr="00000000">
        <w:rPr>
          <w:b w:val="1"/>
          <w:bCs w:val="1"/>
          <w:rtl w:val="0"/>
        </w:rPr>
        <w:t xml:space="preserve">Table 2:</w:t>
      </w:r>
      <w:r w:rsidDel="00000000" w:rsidR="00000000" w:rsidRPr="00000000">
        <w:rPr>
          <w:rtl w:val="0"/>
        </w:rPr>
        <w:t xml:space="preserve"> Pearson correlations with dropout rate (state level, n = 52).</w:t>
      </w:r>
    </w:p>
    <w:p w:rsidR="00000000" w:rsidDel="00000000" w:rsidP="00000000" w:rsidRDefault="00000000" w:rsidRPr="00000000" w14:paraId="0000005F">
      <w:pPr>
        <w:spacing w:after="160" w:before="240" w:lineRule="auto"/>
        <w:jc w:val="both"/>
        <w:rPr>
          <w:sz w:val="24"/>
          <w:szCs w:val="24"/>
        </w:rPr>
      </w:pPr>
      <w:r w:rsidDel="00000000" w:rsidR="00000000" w:rsidRPr="00000000">
        <w:rPr>
          <w:rtl w:val="0"/>
        </w:rPr>
      </w:r>
    </w:p>
    <w:p w:rsidR="00000000" w:rsidDel="00000000" w:rsidP="00000000" w:rsidRDefault="00000000" w:rsidRPr="00000000" w14:paraId="00000060">
      <w:pPr>
        <w:spacing w:after="160" w:before="240" w:lineRule="auto"/>
        <w:jc w:val="both"/>
        <w:rPr>
          <w:sz w:val="24"/>
          <w:szCs w:val="24"/>
        </w:rPr>
      </w:pPr>
      <w:r w:rsidDel="00000000" w:rsidR="00000000" w:rsidRPr="00000000">
        <w:rPr>
          <w:rtl w:val="0"/>
        </w:rPr>
      </w:r>
    </w:p>
    <w:p w:rsidR="00000000" w:rsidDel="00000000" w:rsidP="00000000" w:rsidRDefault="00000000" w:rsidRPr="00000000" w14:paraId="00000061">
      <w:pPr>
        <w:spacing w:after="160" w:before="240" w:lineRule="auto"/>
        <w:jc w:val="both"/>
        <w:rPr>
          <w:sz w:val="24"/>
          <w:szCs w:val="24"/>
        </w:rPr>
      </w:pPr>
      <w:r w:rsidDel="00000000" w:rsidR="00000000" w:rsidRPr="00000000">
        <w:rPr>
          <w:rtl w:val="0"/>
        </w:rPr>
      </w:r>
    </w:p>
    <w:p w:rsidR="00000000" w:rsidDel="00000000" w:rsidP="00000000" w:rsidRDefault="00000000" w:rsidRPr="00000000" w14:paraId="00000062">
      <w:pPr>
        <w:spacing w:after="160" w:before="240" w:lineRule="auto"/>
        <w:jc w:val="both"/>
        <w:rPr>
          <w:sz w:val="24"/>
          <w:szCs w:val="24"/>
        </w:rPr>
      </w:pPr>
      <w:r w:rsidDel="00000000" w:rsidR="00000000" w:rsidRPr="00000000">
        <w:rPr>
          <w:rtl w:val="0"/>
        </w:rPr>
      </w:r>
    </w:p>
    <w:tbl>
      <w:tblPr>
        <w:tblStyle w:val="Table3"/>
        <w:tblpPr w:leftFromText="180" w:rightFromText="180" w:topFromText="144" w:bottomFromText="180" w:vertAnchor="text" w:horzAnchor="text" w:tblpX="0" w:tblpY="0"/>
        <w:tblW w:w="87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20"/>
        <w:gridCol w:w="3180"/>
        <w:gridCol w:w="3060"/>
        <w:tblGridChange w:id="0">
          <w:tblGrid>
            <w:gridCol w:w="2520"/>
            <w:gridCol w:w="3180"/>
            <w:gridCol w:w="3060"/>
          </w:tblGrid>
        </w:tblGridChange>
      </w:tblGrid>
      <w:tr>
        <w:trPr>
          <w:cantSplit w:val="0"/>
          <w:trHeight w:val="978.0000000000001" w:hRule="atLeast"/>
          <w:tblHeader w:val="0"/>
        </w:trPr>
        <w:tc>
          <w:tcPr>
            <w:tcBorders>
              <w:top w:color="cccccc" w:space="0" w:sz="6" w:val="single"/>
              <w:left w:color="cccccc" w:space="0" w:sz="6" w:val="single"/>
              <w:bottom w:color="cccccc" w:space="0" w:sz="6" w:val="single"/>
              <w:right w:color="cccccc" w:space="0" w:sz="6" w:val="single"/>
            </w:tcBorders>
            <w:shd w:fill="2e75b6" w:val="clear"/>
            <w:tcMar>
              <w:top w:w="80.0" w:type="dxa"/>
              <w:left w:w="120.0" w:type="dxa"/>
              <w:bottom w:w="80.0" w:type="dxa"/>
              <w:right w:w="120.0" w:type="dxa"/>
            </w:tcMar>
          </w:tcPr>
          <w:p w:rsidR="00000000" w:rsidDel="00000000" w:rsidP="00000000" w:rsidRDefault="00000000" w:rsidRPr="00000000" w14:paraId="00000063">
            <w:pPr>
              <w:spacing w:line="240" w:lineRule="auto"/>
              <w:rPr>
                <w:b w:val="1"/>
                <w:bCs w:val="1"/>
                <w:color w:val="ffffff"/>
                <w:sz w:val="20"/>
                <w:szCs w:val="20"/>
              </w:rPr>
            </w:pPr>
            <w:r w:rsidDel="00000000" w:rsidR="00000000" w:rsidRPr="00000000">
              <w:rPr>
                <w:b w:val="1"/>
                <w:bCs w:val="1"/>
                <w:color w:val="ffffff"/>
                <w:sz w:val="20"/>
                <w:szCs w:val="20"/>
                <w:rtl w:val="0"/>
              </w:rPr>
              <w:t xml:space="preserve">Feature</w:t>
            </w:r>
          </w:p>
        </w:tc>
        <w:tc>
          <w:tcPr>
            <w:tcBorders>
              <w:top w:color="cccccc" w:space="0" w:sz="6" w:val="single"/>
              <w:left w:color="cccccc" w:space="0" w:sz="6" w:val="single"/>
              <w:bottom w:color="cccccc" w:space="0" w:sz="6" w:val="single"/>
              <w:right w:color="cccccc" w:space="0" w:sz="6" w:val="single"/>
            </w:tcBorders>
            <w:shd w:fill="2e75b6" w:val="clear"/>
            <w:tcMar>
              <w:top w:w="80.0" w:type="dxa"/>
              <w:left w:w="120.0" w:type="dxa"/>
              <w:bottom w:w="80.0" w:type="dxa"/>
              <w:right w:w="120.0" w:type="dxa"/>
            </w:tcMar>
          </w:tcPr>
          <w:p w:rsidR="00000000" w:rsidDel="00000000" w:rsidP="00000000" w:rsidRDefault="00000000" w:rsidRPr="00000000" w14:paraId="00000064">
            <w:pPr>
              <w:spacing w:line="240" w:lineRule="auto"/>
              <w:rPr>
                <w:b w:val="1"/>
                <w:bCs w:val="1"/>
                <w:color w:val="ffffff"/>
                <w:sz w:val="20"/>
                <w:szCs w:val="20"/>
              </w:rPr>
            </w:pPr>
            <w:r w:rsidDel="00000000" w:rsidR="00000000" w:rsidRPr="00000000">
              <w:rPr>
                <w:b w:val="1"/>
                <w:bCs w:val="1"/>
                <w:color w:val="ffffff"/>
                <w:sz w:val="20"/>
                <w:szCs w:val="20"/>
                <w:rtl w:val="0"/>
              </w:rPr>
              <w:t xml:space="preserve">Correlation with Dropout Rate</w:t>
            </w:r>
          </w:p>
        </w:tc>
        <w:tc>
          <w:tcPr>
            <w:tcBorders>
              <w:top w:color="cccccc" w:space="0" w:sz="6" w:val="single"/>
              <w:left w:color="cccccc" w:space="0" w:sz="6" w:val="single"/>
              <w:bottom w:color="cccccc" w:space="0" w:sz="6" w:val="single"/>
              <w:right w:color="cccccc" w:space="0" w:sz="6" w:val="single"/>
            </w:tcBorders>
            <w:shd w:fill="2e75b6" w:val="clear"/>
            <w:tcMar>
              <w:top w:w="80.0" w:type="dxa"/>
              <w:left w:w="120.0" w:type="dxa"/>
              <w:bottom w:w="80.0" w:type="dxa"/>
              <w:right w:w="120.0" w:type="dxa"/>
            </w:tcMar>
          </w:tcPr>
          <w:p w:rsidR="00000000" w:rsidDel="00000000" w:rsidP="00000000" w:rsidRDefault="00000000" w:rsidRPr="00000000" w14:paraId="00000065">
            <w:pPr>
              <w:spacing w:line="240" w:lineRule="auto"/>
              <w:rPr>
                <w:b w:val="1"/>
                <w:bCs w:val="1"/>
                <w:color w:val="ffffff"/>
                <w:sz w:val="20"/>
                <w:szCs w:val="20"/>
              </w:rPr>
            </w:pPr>
            <w:r w:rsidDel="00000000" w:rsidR="00000000" w:rsidRPr="00000000">
              <w:rPr>
                <w:b w:val="1"/>
                <w:bCs w:val="1"/>
                <w:color w:val="ffffff"/>
                <w:sz w:val="20"/>
                <w:szCs w:val="20"/>
                <w:rtl w:val="0"/>
              </w:rPr>
              <w:t xml:space="preserve">Interpretation</w:t>
            </w:r>
          </w:p>
        </w:tc>
      </w:tr>
      <w:tr>
        <w:trPr>
          <w:cantSplit w:val="0"/>
          <w:trHeight w:val="585" w:hRule="atLeast"/>
          <w:tblHeader w:val="0"/>
        </w:trPr>
        <w:tc>
          <w:tcPr>
            <w:tcBorders>
              <w:top w:color="cccccc" w:space="0" w:sz="6" w:val="single"/>
              <w:left w:color="cccccc" w:space="0" w:sz="6" w:val="single"/>
              <w:bottom w:color="cccccc" w:space="0" w:sz="6" w:val="single"/>
              <w:right w:color="cccccc" w:space="0" w:sz="6" w:val="single"/>
            </w:tcBorders>
            <w:shd w:fill="f2f7fc" w:val="clear"/>
            <w:tcMar>
              <w:top w:w="80.0" w:type="dxa"/>
              <w:left w:w="120.0" w:type="dxa"/>
              <w:bottom w:w="80.0" w:type="dxa"/>
              <w:right w:w="120.0" w:type="dxa"/>
            </w:tcMar>
          </w:tcPr>
          <w:p w:rsidR="00000000" w:rsidDel="00000000" w:rsidP="00000000" w:rsidRDefault="00000000" w:rsidRPr="00000000" w14:paraId="00000066">
            <w:pPr>
              <w:spacing w:line="240" w:lineRule="auto"/>
              <w:rPr>
                <w:sz w:val="20"/>
                <w:szCs w:val="20"/>
              </w:rPr>
            </w:pPr>
            <w:r w:rsidDel="00000000" w:rsidR="00000000" w:rsidRPr="00000000">
              <w:rPr>
                <w:sz w:val="20"/>
                <w:szCs w:val="20"/>
                <w:rtl w:val="0"/>
              </w:rPr>
              <w:t xml:space="preserve">Poverty Rate (%)</w:t>
            </w:r>
          </w:p>
        </w:tc>
        <w:tc>
          <w:tcPr>
            <w:tcBorders>
              <w:top w:color="cccccc" w:space="0" w:sz="6" w:val="single"/>
              <w:left w:color="cccccc" w:space="0" w:sz="6" w:val="single"/>
              <w:bottom w:color="cccccc" w:space="0" w:sz="6" w:val="single"/>
              <w:right w:color="cccccc" w:space="0" w:sz="6" w:val="single"/>
            </w:tcBorders>
            <w:shd w:fill="f2f7fc" w:val="clear"/>
            <w:tcMar>
              <w:top w:w="80.0" w:type="dxa"/>
              <w:left w:w="120.0" w:type="dxa"/>
              <w:bottom w:w="80.0" w:type="dxa"/>
              <w:right w:w="120.0" w:type="dxa"/>
            </w:tcMar>
          </w:tcPr>
          <w:p w:rsidR="00000000" w:rsidDel="00000000" w:rsidP="00000000" w:rsidRDefault="00000000" w:rsidRPr="00000000" w14:paraId="00000067">
            <w:pPr>
              <w:spacing w:line="240" w:lineRule="auto"/>
              <w:rPr>
                <w:sz w:val="20"/>
                <w:szCs w:val="20"/>
              </w:rPr>
            </w:pPr>
            <w:r w:rsidDel="00000000" w:rsidR="00000000" w:rsidRPr="00000000">
              <w:rPr>
                <w:sz w:val="20"/>
                <w:szCs w:val="20"/>
                <w:rtl w:val="0"/>
              </w:rPr>
              <w:t xml:space="preserve">r = 0.0759</w:t>
            </w:r>
          </w:p>
        </w:tc>
        <w:tc>
          <w:tcPr>
            <w:tcBorders>
              <w:top w:color="cccccc" w:space="0" w:sz="6" w:val="single"/>
              <w:left w:color="cccccc" w:space="0" w:sz="6" w:val="single"/>
              <w:bottom w:color="cccccc" w:space="0" w:sz="6" w:val="single"/>
              <w:right w:color="cccccc" w:space="0" w:sz="6" w:val="single"/>
            </w:tcBorders>
            <w:shd w:fill="f2f7fc" w:val="clear"/>
            <w:tcMar>
              <w:top w:w="80.0" w:type="dxa"/>
              <w:left w:w="120.0" w:type="dxa"/>
              <w:bottom w:w="80.0" w:type="dxa"/>
              <w:right w:w="120.0" w:type="dxa"/>
            </w:tcMar>
          </w:tcPr>
          <w:p w:rsidR="00000000" w:rsidDel="00000000" w:rsidP="00000000" w:rsidRDefault="00000000" w:rsidRPr="00000000" w14:paraId="00000068">
            <w:pPr>
              <w:spacing w:line="240" w:lineRule="auto"/>
              <w:rPr>
                <w:sz w:val="20"/>
                <w:szCs w:val="20"/>
              </w:rPr>
            </w:pPr>
            <w:r w:rsidDel="00000000" w:rsidR="00000000" w:rsidRPr="00000000">
              <w:rPr>
                <w:sz w:val="20"/>
                <w:szCs w:val="20"/>
                <w:rtl w:val="0"/>
              </w:rPr>
              <w:t xml:space="preserve">Little to no correlation</w:t>
            </w:r>
          </w:p>
        </w:tc>
      </w:tr>
      <w:tr>
        <w:trPr>
          <w:cantSplit w:val="0"/>
          <w:trHeight w:val="585" w:hRule="atLeast"/>
          <w:tblHeader w:val="0"/>
        </w:trPr>
        <w:tc>
          <w:tcPr>
            <w:tcBorders>
              <w:top w:color="cccccc" w:space="0" w:sz="6" w:val="single"/>
              <w:left w:color="cccccc" w:space="0" w:sz="6" w:val="single"/>
              <w:bottom w:color="cccccc" w:space="0" w:sz="6" w:val="single"/>
              <w:right w:color="cccccc" w:space="0" w:sz="6" w:val="single"/>
            </w:tcBorders>
            <w:shd w:fill="ffffff" w:val="clear"/>
            <w:tcMar>
              <w:top w:w="80.0" w:type="dxa"/>
              <w:left w:w="120.0" w:type="dxa"/>
              <w:bottom w:w="80.0" w:type="dxa"/>
              <w:right w:w="120.0" w:type="dxa"/>
            </w:tcMar>
          </w:tcPr>
          <w:p w:rsidR="00000000" w:rsidDel="00000000" w:rsidP="00000000" w:rsidRDefault="00000000" w:rsidRPr="00000000" w14:paraId="00000069">
            <w:pPr>
              <w:spacing w:line="240" w:lineRule="auto"/>
              <w:rPr>
                <w:sz w:val="20"/>
                <w:szCs w:val="20"/>
              </w:rPr>
            </w:pPr>
            <w:r w:rsidDel="00000000" w:rsidR="00000000" w:rsidRPr="00000000">
              <w:rPr>
                <w:sz w:val="20"/>
                <w:szCs w:val="20"/>
                <w:rtl w:val="0"/>
              </w:rPr>
              <w:t xml:space="preserve">Median Income ($)</w:t>
            </w:r>
          </w:p>
        </w:tc>
        <w:tc>
          <w:tcPr>
            <w:tcBorders>
              <w:top w:color="cccccc" w:space="0" w:sz="6" w:val="single"/>
              <w:left w:color="cccccc" w:space="0" w:sz="6" w:val="single"/>
              <w:bottom w:color="cccccc" w:space="0" w:sz="6" w:val="single"/>
              <w:right w:color="cccccc" w:space="0" w:sz="6" w:val="single"/>
            </w:tcBorders>
            <w:shd w:fill="ffffff" w:val="clear"/>
            <w:tcMar>
              <w:top w:w="80.0" w:type="dxa"/>
              <w:left w:w="120.0" w:type="dxa"/>
              <w:bottom w:w="80.0" w:type="dxa"/>
              <w:right w:w="120.0" w:type="dxa"/>
            </w:tcMar>
          </w:tcPr>
          <w:p w:rsidR="00000000" w:rsidDel="00000000" w:rsidP="00000000" w:rsidRDefault="00000000" w:rsidRPr="00000000" w14:paraId="0000006A">
            <w:pPr>
              <w:spacing w:line="240" w:lineRule="auto"/>
              <w:rPr>
                <w:sz w:val="20"/>
                <w:szCs w:val="20"/>
              </w:rPr>
            </w:pPr>
            <w:r w:rsidDel="00000000" w:rsidR="00000000" w:rsidRPr="00000000">
              <w:rPr>
                <w:sz w:val="20"/>
                <w:szCs w:val="20"/>
                <w:rtl w:val="0"/>
              </w:rPr>
              <w:t xml:space="preserve">r = -0.0588</w:t>
            </w:r>
          </w:p>
        </w:tc>
        <w:tc>
          <w:tcPr>
            <w:tcBorders>
              <w:top w:color="cccccc" w:space="0" w:sz="6" w:val="single"/>
              <w:left w:color="cccccc" w:space="0" w:sz="6" w:val="single"/>
              <w:bottom w:color="cccccc" w:space="0" w:sz="6" w:val="single"/>
              <w:right w:color="cccccc" w:space="0" w:sz="6" w:val="single"/>
            </w:tcBorders>
            <w:shd w:fill="ffffff" w:val="clear"/>
            <w:tcMar>
              <w:top w:w="80.0" w:type="dxa"/>
              <w:left w:w="120.0" w:type="dxa"/>
              <w:bottom w:w="80.0" w:type="dxa"/>
              <w:right w:w="120.0" w:type="dxa"/>
            </w:tcMar>
          </w:tcPr>
          <w:p w:rsidR="00000000" w:rsidDel="00000000" w:rsidP="00000000" w:rsidRDefault="00000000" w:rsidRPr="00000000" w14:paraId="0000006B">
            <w:pPr>
              <w:spacing w:line="240" w:lineRule="auto"/>
              <w:rPr>
                <w:sz w:val="20"/>
                <w:szCs w:val="20"/>
              </w:rPr>
            </w:pPr>
            <w:r w:rsidDel="00000000" w:rsidR="00000000" w:rsidRPr="00000000">
              <w:rPr>
                <w:sz w:val="20"/>
                <w:szCs w:val="20"/>
                <w:rtl w:val="0"/>
              </w:rPr>
              <w:t xml:space="preserve">Little to no correlation</w:t>
            </w:r>
          </w:p>
        </w:tc>
      </w:tr>
      <w:tr>
        <w:trPr>
          <w:cantSplit w:val="0"/>
          <w:trHeight w:val="780" w:hRule="atLeast"/>
          <w:tblHeader w:val="0"/>
        </w:trPr>
        <w:tc>
          <w:tcPr>
            <w:tcBorders>
              <w:top w:color="cccccc" w:space="0" w:sz="6" w:val="single"/>
              <w:left w:color="cccccc" w:space="0" w:sz="6" w:val="single"/>
              <w:bottom w:color="cccccc" w:space="0" w:sz="6" w:val="single"/>
              <w:right w:color="cccccc" w:space="0" w:sz="6" w:val="single"/>
            </w:tcBorders>
            <w:shd w:fill="f2f7fc" w:val="clear"/>
            <w:tcMar>
              <w:top w:w="80.0" w:type="dxa"/>
              <w:left w:w="120.0" w:type="dxa"/>
              <w:bottom w:w="80.0" w:type="dxa"/>
              <w:right w:w="120.0" w:type="dxa"/>
            </w:tcMar>
          </w:tcPr>
          <w:p w:rsidR="00000000" w:rsidDel="00000000" w:rsidP="00000000" w:rsidRDefault="00000000" w:rsidRPr="00000000" w14:paraId="0000006C">
            <w:pPr>
              <w:spacing w:line="240" w:lineRule="auto"/>
              <w:rPr>
                <w:sz w:val="20"/>
                <w:szCs w:val="20"/>
              </w:rPr>
            </w:pPr>
            <w:r w:rsidDel="00000000" w:rsidR="00000000" w:rsidRPr="00000000">
              <w:rPr>
                <w:sz w:val="20"/>
                <w:szCs w:val="20"/>
                <w:rtl w:val="0"/>
              </w:rPr>
              <w:t xml:space="preserve">Bachelor's Degree Rate (%)</w:t>
            </w:r>
          </w:p>
        </w:tc>
        <w:tc>
          <w:tcPr>
            <w:tcBorders>
              <w:top w:color="cccccc" w:space="0" w:sz="6" w:val="single"/>
              <w:left w:color="cccccc" w:space="0" w:sz="6" w:val="single"/>
              <w:bottom w:color="cccccc" w:space="0" w:sz="6" w:val="single"/>
              <w:right w:color="cccccc" w:space="0" w:sz="6" w:val="single"/>
            </w:tcBorders>
            <w:shd w:fill="f2f7fc" w:val="clear"/>
            <w:tcMar>
              <w:top w:w="80.0" w:type="dxa"/>
              <w:left w:w="120.0" w:type="dxa"/>
              <w:bottom w:w="80.0" w:type="dxa"/>
              <w:right w:w="120.0" w:type="dxa"/>
            </w:tcMar>
          </w:tcPr>
          <w:p w:rsidR="00000000" w:rsidDel="00000000" w:rsidP="00000000" w:rsidRDefault="00000000" w:rsidRPr="00000000" w14:paraId="0000006D">
            <w:pPr>
              <w:spacing w:line="240" w:lineRule="auto"/>
              <w:rPr>
                <w:sz w:val="20"/>
                <w:szCs w:val="20"/>
              </w:rPr>
            </w:pPr>
            <w:r w:rsidDel="00000000" w:rsidR="00000000" w:rsidRPr="00000000">
              <w:rPr>
                <w:sz w:val="20"/>
                <w:szCs w:val="20"/>
                <w:rtl w:val="0"/>
              </w:rPr>
              <w:t xml:space="preserve">r = -0.0129</w:t>
            </w:r>
          </w:p>
        </w:tc>
        <w:tc>
          <w:tcPr>
            <w:tcBorders>
              <w:top w:color="cccccc" w:space="0" w:sz="6" w:val="single"/>
              <w:left w:color="cccccc" w:space="0" w:sz="6" w:val="single"/>
              <w:bottom w:color="cccccc" w:space="0" w:sz="6" w:val="single"/>
              <w:right w:color="cccccc" w:space="0" w:sz="6" w:val="single"/>
            </w:tcBorders>
            <w:shd w:fill="f2f7fc" w:val="clear"/>
            <w:tcMar>
              <w:top w:w="80.0" w:type="dxa"/>
              <w:left w:w="120.0" w:type="dxa"/>
              <w:bottom w:w="80.0" w:type="dxa"/>
              <w:right w:w="120.0" w:type="dxa"/>
            </w:tcMar>
          </w:tcPr>
          <w:p w:rsidR="00000000" w:rsidDel="00000000" w:rsidP="00000000" w:rsidRDefault="00000000" w:rsidRPr="00000000" w14:paraId="0000006E">
            <w:pPr>
              <w:spacing w:line="240" w:lineRule="auto"/>
              <w:rPr>
                <w:sz w:val="20"/>
                <w:szCs w:val="20"/>
              </w:rPr>
            </w:pPr>
            <w:r w:rsidDel="00000000" w:rsidR="00000000" w:rsidRPr="00000000">
              <w:rPr>
                <w:sz w:val="20"/>
                <w:szCs w:val="20"/>
                <w:rtl w:val="0"/>
              </w:rPr>
              <w:t xml:space="preserve">Little to no correlation</w:t>
            </w:r>
          </w:p>
        </w:tc>
      </w:tr>
      <w:tr>
        <w:trPr>
          <w:cantSplit w:val="0"/>
          <w:trHeight w:val="255" w:hRule="atLeast"/>
          <w:tblHeader w:val="0"/>
        </w:trPr>
        <w:tc>
          <w:tcPr>
            <w:tcBorders>
              <w:top w:color="cccccc" w:space="0" w:sz="6" w:val="single"/>
              <w:left w:color="cccccc" w:space="0" w:sz="6" w:val="single"/>
              <w:bottom w:color="cccccc" w:space="0" w:sz="6" w:val="single"/>
              <w:right w:color="cccccc" w:space="0" w:sz="6" w:val="single"/>
            </w:tcBorders>
            <w:shd w:fill="ffffff" w:val="clear"/>
            <w:tcMar>
              <w:top w:w="80.0" w:type="dxa"/>
              <w:left w:w="120.0" w:type="dxa"/>
              <w:bottom w:w="80.0" w:type="dxa"/>
              <w:right w:w="120.0" w:type="dxa"/>
            </w:tcMar>
          </w:tcPr>
          <w:p w:rsidR="00000000" w:rsidDel="00000000" w:rsidP="00000000" w:rsidRDefault="00000000" w:rsidRPr="00000000" w14:paraId="0000006F">
            <w:pPr>
              <w:spacing w:line="240" w:lineRule="auto"/>
              <w:rPr>
                <w:sz w:val="20"/>
                <w:szCs w:val="20"/>
              </w:rPr>
            </w:pPr>
            <w:r w:rsidDel="00000000" w:rsidR="00000000" w:rsidRPr="00000000">
              <w:rPr>
                <w:sz w:val="20"/>
                <w:szCs w:val="20"/>
                <w:rtl w:val="0"/>
              </w:rPr>
              <w:t xml:space="preserve">Dropout Rate (%)</w:t>
            </w:r>
          </w:p>
        </w:tc>
        <w:tc>
          <w:tcPr>
            <w:tcBorders>
              <w:top w:color="cccccc" w:space="0" w:sz="6" w:val="single"/>
              <w:left w:color="cccccc" w:space="0" w:sz="6" w:val="single"/>
              <w:bottom w:color="cccccc" w:space="0" w:sz="6" w:val="single"/>
              <w:right w:color="cccccc" w:space="0" w:sz="6" w:val="single"/>
            </w:tcBorders>
            <w:shd w:fill="ffffff" w:val="clear"/>
            <w:tcMar>
              <w:top w:w="80.0" w:type="dxa"/>
              <w:left w:w="120.0" w:type="dxa"/>
              <w:bottom w:w="80.0" w:type="dxa"/>
              <w:right w:w="120.0" w:type="dxa"/>
            </w:tcMar>
          </w:tcPr>
          <w:p w:rsidR="00000000" w:rsidDel="00000000" w:rsidP="00000000" w:rsidRDefault="00000000" w:rsidRPr="00000000" w14:paraId="00000070">
            <w:pPr>
              <w:spacing w:line="240" w:lineRule="auto"/>
              <w:rPr>
                <w:sz w:val="20"/>
                <w:szCs w:val="20"/>
              </w:rPr>
            </w:pPr>
            <w:r w:rsidDel="00000000" w:rsidR="00000000" w:rsidRPr="00000000">
              <w:rPr>
                <w:sz w:val="20"/>
                <w:szCs w:val="20"/>
                <w:rtl w:val="0"/>
              </w:rPr>
              <w:t xml:space="preserve">r = 1.0000</w:t>
            </w:r>
          </w:p>
        </w:tc>
        <w:tc>
          <w:tcPr>
            <w:tcBorders>
              <w:top w:color="cccccc" w:space="0" w:sz="6" w:val="single"/>
              <w:left w:color="cccccc" w:space="0" w:sz="6" w:val="single"/>
              <w:bottom w:color="cccccc" w:space="0" w:sz="6" w:val="single"/>
              <w:right w:color="cccccc" w:space="0" w:sz="6" w:val="single"/>
            </w:tcBorders>
            <w:tcMar>
              <w:top w:w="80.0" w:type="dxa"/>
              <w:left w:w="120.0" w:type="dxa"/>
              <w:bottom w:w="80.0" w:type="dxa"/>
              <w:right w:w="120.0" w:type="dxa"/>
            </w:tcMar>
          </w:tcPr>
          <w:p w:rsidR="00000000" w:rsidDel="00000000" w:rsidP="00000000" w:rsidRDefault="00000000" w:rsidRPr="00000000" w14:paraId="00000071">
            <w:pPr>
              <w:spacing w:line="240" w:lineRule="auto"/>
              <w:rPr>
                <w:sz w:val="20"/>
                <w:szCs w:val="20"/>
              </w:rPr>
            </w:pPr>
            <w:r w:rsidDel="00000000" w:rsidR="00000000" w:rsidRPr="00000000">
              <w:rPr>
                <w:sz w:val="20"/>
                <w:szCs w:val="20"/>
                <w:rtl w:val="0"/>
              </w:rPr>
              <w:t xml:space="preserve">-</w:t>
            </w:r>
          </w:p>
        </w:tc>
      </w:tr>
    </w:tbl>
    <w:p w:rsidR="00000000" w:rsidDel="00000000" w:rsidP="00000000" w:rsidRDefault="00000000" w:rsidRPr="00000000" w14:paraId="00000072">
      <w:pPr>
        <w:spacing w:after="120" w:before="300" w:lineRule="auto"/>
        <w:rPr/>
      </w:pPr>
      <w:r w:rsidDel="00000000" w:rsidR="00000000" w:rsidRPr="00000000">
        <w:rPr>
          <w:rtl w:val="0"/>
        </w:rPr>
      </w:r>
    </w:p>
    <w:p w:rsidR="00000000" w:rsidDel="00000000" w:rsidP="00000000" w:rsidRDefault="00000000" w:rsidRPr="00000000" w14:paraId="00000073">
      <w:pPr>
        <w:spacing w:after="120" w:before="300" w:lineRule="auto"/>
        <w:rPr/>
      </w:pPr>
      <w:r w:rsidDel="00000000" w:rsidR="00000000" w:rsidRPr="00000000">
        <w:rPr>
          <w:rtl w:val="0"/>
        </w:rPr>
      </w:r>
    </w:p>
    <w:p w:rsidR="00000000" w:rsidDel="00000000" w:rsidP="00000000" w:rsidRDefault="00000000" w:rsidRPr="00000000" w14:paraId="00000074">
      <w:pPr>
        <w:spacing w:after="120" w:before="300" w:lineRule="auto"/>
        <w:rPr/>
      </w:pPr>
      <w:r w:rsidDel="00000000" w:rsidR="00000000" w:rsidRPr="00000000">
        <w:rPr>
          <w:b w:val="1"/>
          <w:bCs w:val="1"/>
          <w:rtl w:val="0"/>
        </w:rPr>
        <w:t xml:space="preserve">Table 3:</w:t>
      </w:r>
      <w:r w:rsidDel="00000000" w:rsidR="00000000" w:rsidRPr="00000000">
        <w:rPr>
          <w:rtl w:val="0"/>
        </w:rPr>
        <w:t xml:space="preserve"> Pearson correlations with dropout rate (District level, n = 19526).</w:t>
      </w:r>
    </w:p>
    <w:p w:rsidR="00000000" w:rsidDel="00000000" w:rsidP="00000000" w:rsidRDefault="00000000" w:rsidRPr="00000000" w14:paraId="00000075">
      <w:pPr>
        <w:spacing w:after="120" w:before="300" w:lineRule="auto"/>
        <w:rPr/>
      </w:pPr>
      <w:r w:rsidDel="00000000" w:rsidR="00000000" w:rsidRPr="00000000">
        <w:rPr>
          <w:rtl w:val="0"/>
        </w:rPr>
      </w:r>
    </w:p>
    <w:p w:rsidR="00000000" w:rsidDel="00000000" w:rsidP="00000000" w:rsidRDefault="00000000" w:rsidRPr="00000000" w14:paraId="00000076">
      <w:pPr>
        <w:spacing w:after="160" w:before="240" w:lineRule="auto"/>
        <w:jc w:val="both"/>
        <w:rPr/>
      </w:pPr>
      <w:r w:rsidDel="00000000" w:rsidR="00000000" w:rsidRPr="00000000">
        <w:rPr>
          <w:rtl w:val="0"/>
        </w:rPr>
        <w:t xml:space="preserve">Notably, correlation patterns differ substantially between aggregation levels, highlighting the sensitivity of results to geographic scales.</w:t>
      </w:r>
    </w:p>
    <w:p w:rsidR="00000000" w:rsidDel="00000000" w:rsidP="00000000" w:rsidRDefault="00000000" w:rsidRPr="00000000" w14:paraId="00000077">
      <w:pPr>
        <w:spacing w:after="120" w:before="300" w:lineRule="auto"/>
        <w:rPr>
          <w:b w:val="1"/>
          <w:bCs w:val="1"/>
          <w:color w:val="3d85c6"/>
          <w:sz w:val="24"/>
          <w:szCs w:val="24"/>
        </w:rPr>
      </w:pPr>
      <w:r w:rsidDel="00000000" w:rsidR="00000000" w:rsidRPr="00000000">
        <w:rPr>
          <w:b w:val="1"/>
          <w:bCs w:val="1"/>
          <w:color w:val="3d85c6"/>
          <w:sz w:val="24"/>
          <w:szCs w:val="24"/>
          <w:rtl w:val="0"/>
        </w:rPr>
        <w:t xml:space="preserve">4.3 Regression Results</w:t>
      </w:r>
    </w:p>
    <w:p w:rsidR="00000000" w:rsidDel="00000000" w:rsidP="00000000" w:rsidRDefault="00000000" w:rsidRPr="00000000" w14:paraId="00000078">
      <w:pPr>
        <w:spacing w:after="120" w:before="300" w:lineRule="auto"/>
        <w:rPr>
          <w:sz w:val="24"/>
          <w:szCs w:val="24"/>
        </w:rPr>
      </w:pPr>
      <w:r w:rsidDel="00000000" w:rsidR="00000000" w:rsidRPr="00000000">
        <w:rPr>
          <w:sz w:val="24"/>
          <w:szCs w:val="24"/>
          <w:rtl w:val="0"/>
        </w:rPr>
        <w:t xml:space="preserve">We evaluated the relationship between the socioeconomic variables and the dropout outcomes using Option A (district-level fused) dataset as the primary analysis framework. </w:t>
      </w:r>
    </w:p>
    <w:p w:rsidR="00000000" w:rsidDel="00000000" w:rsidP="00000000" w:rsidRDefault="00000000" w:rsidRPr="00000000" w14:paraId="00000079">
      <w:pPr>
        <w:spacing w:after="120" w:before="300" w:lineRule="auto"/>
        <w:rPr>
          <w:sz w:val="24"/>
          <w:szCs w:val="24"/>
        </w:rPr>
      </w:pPr>
      <w:r w:rsidDel="00000000" w:rsidR="00000000" w:rsidRPr="00000000">
        <w:rPr>
          <w:sz w:val="24"/>
          <w:szCs w:val="24"/>
          <w:rtl w:val="0"/>
        </w:rPr>
        <w:t xml:space="preserve">A multiple linear regression model was first applied using poverty rate, median income, and Bachelor's degree rate as the predictors of the dropout rate. This model achieved very low explanatory power, with R</w:t>
      </w:r>
      <w:r w:rsidDel="00000000" w:rsidR="00000000" w:rsidRPr="00000000">
        <w:rPr>
          <w:sz w:val="24"/>
          <w:szCs w:val="24"/>
          <w:vertAlign w:val="superscript"/>
          <w:rtl w:val="0"/>
        </w:rPr>
        <w:t xml:space="preserve">2</w:t>
      </w:r>
      <w:r w:rsidDel="00000000" w:rsidR="00000000" w:rsidRPr="00000000">
        <w:rPr>
          <w:sz w:val="24"/>
          <w:szCs w:val="24"/>
          <w:rtl w:val="0"/>
        </w:rPr>
        <w:t xml:space="preserve"> = 0.01. This indicates that these variables do not meaningfully explain variation in dropout outcomes at the district level. </w:t>
      </w:r>
    </w:p>
    <w:p w:rsidR="00000000" w:rsidDel="00000000" w:rsidP="00000000" w:rsidRDefault="00000000" w:rsidRPr="00000000" w14:paraId="0000007A">
      <w:pPr>
        <w:spacing w:after="120" w:before="300" w:lineRule="auto"/>
        <w:rPr>
          <w:sz w:val="24"/>
          <w:szCs w:val="24"/>
        </w:rPr>
      </w:pPr>
      <w:r w:rsidDel="00000000" w:rsidR="00000000" w:rsidRPr="00000000">
        <w:rPr>
          <w:sz w:val="24"/>
          <w:szCs w:val="24"/>
          <w:rtl w:val="0"/>
        </w:rPr>
        <w:t xml:space="preserve">To verify whether this performance was better than a trivial predictor, we compared the model against a baseline mean prediction model. The baseline model achieved lower error (MAE = 3.74), while the linear regression model produced higher MAE (=8.25), indicating no improvement over a simple mean-based approach. </w:t>
      </w:r>
    </w:p>
    <w:p w:rsidR="00000000" w:rsidDel="00000000" w:rsidP="00000000" w:rsidRDefault="00000000" w:rsidRPr="00000000" w14:paraId="0000007B">
      <w:pPr>
        <w:spacing w:after="120" w:before="300" w:lineRule="auto"/>
        <w:rPr>
          <w:sz w:val="24"/>
          <w:szCs w:val="24"/>
        </w:rPr>
      </w:pPr>
      <w:r w:rsidDel="00000000" w:rsidR="00000000" w:rsidRPr="00000000">
        <w:rPr>
          <w:sz w:val="24"/>
          <w:szCs w:val="24"/>
          <w:rtl w:val="0"/>
        </w:rPr>
        <w:t xml:space="preserve">We applied a Random Forest regression model to test whether a nonlinear relationship could improve predictive performance. Although training performance increased (Train R</w:t>
      </w:r>
      <w:r w:rsidDel="00000000" w:rsidR="00000000" w:rsidRPr="00000000">
        <w:rPr>
          <w:sz w:val="24"/>
          <w:szCs w:val="24"/>
          <w:vertAlign w:val="superscript"/>
          <w:rtl w:val="0"/>
        </w:rPr>
        <w:t xml:space="preserve">2</w:t>
      </w:r>
      <w:r w:rsidDel="00000000" w:rsidR="00000000" w:rsidRPr="00000000">
        <w:rPr>
          <w:sz w:val="24"/>
          <w:szCs w:val="24"/>
          <w:rtl w:val="0"/>
        </w:rPr>
        <w:t xml:space="preserve"> = 0.17), test performance remained near zero, suggesting severe overfitting and a weak generalizable signal in the predictors. </w:t>
      </w:r>
    </w:p>
    <w:p w:rsidR="00000000" w:rsidDel="00000000" w:rsidP="00000000" w:rsidRDefault="00000000" w:rsidRPr="00000000" w14:paraId="0000007C">
      <w:pPr>
        <w:spacing w:after="120" w:before="300" w:lineRule="auto"/>
        <w:rPr>
          <w:sz w:val="24"/>
          <w:szCs w:val="24"/>
        </w:rPr>
      </w:pPr>
      <w:r w:rsidDel="00000000" w:rsidR="00000000" w:rsidRPr="00000000">
        <w:rPr>
          <w:sz w:val="24"/>
          <w:szCs w:val="24"/>
          <w:rtl w:val="0"/>
        </w:rPr>
        <w:t xml:space="preserve">Table 4 shows a comparison of the models. We constructed a state-level aggregated dataset (Option B) as a cross-grained baseline. A linear regression model on this dataset achieves higher in-sample explanatory power (R² =0.19), which reflects reduced variance due to aggregation rather than stronger predictive relationships. This result is not directly comparable to the district level model due to difference in granularity and sample size, but serves as a reference point for understanding the effect of spatial aggregation.  </w:t>
      </w:r>
    </w:p>
    <w:tbl>
      <w:tblPr>
        <w:tblStyle w:val="Table4"/>
        <w:tblpPr w:leftFromText="180" w:rightFromText="180" w:topFromText="144" w:bottomFromText="180" w:vertAnchor="text" w:horzAnchor="text" w:tblpX="0" w:tblpY="0"/>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20"/>
        <w:gridCol w:w="1845"/>
        <w:gridCol w:w="1170"/>
        <w:gridCol w:w="1770"/>
        <w:gridCol w:w="1050"/>
        <w:gridCol w:w="1590"/>
        <w:tblGridChange w:id="0">
          <w:tblGrid>
            <w:gridCol w:w="1920"/>
            <w:gridCol w:w="1845"/>
            <w:gridCol w:w="1170"/>
            <w:gridCol w:w="1770"/>
            <w:gridCol w:w="1050"/>
            <w:gridCol w:w="1590"/>
          </w:tblGrid>
        </w:tblGridChange>
      </w:tblGrid>
      <w:tr>
        <w:trPr>
          <w:cantSplit w:val="0"/>
          <w:trHeight w:val="540" w:hRule="atLeast"/>
          <w:tblHeader w:val="0"/>
        </w:trPr>
        <w:tc>
          <w:tcPr>
            <w:tcBorders>
              <w:top w:color="cccccc" w:space="0" w:sz="6" w:val="single"/>
              <w:left w:color="cccccc" w:space="0" w:sz="6" w:val="single"/>
              <w:bottom w:color="cccccc" w:space="0" w:sz="6" w:val="single"/>
              <w:right w:color="cccccc" w:space="0" w:sz="6" w:val="single"/>
            </w:tcBorders>
            <w:shd w:fill="2e75b6" w:val="clear"/>
            <w:tcMar>
              <w:top w:w="80.0" w:type="dxa"/>
              <w:left w:w="120.0" w:type="dxa"/>
              <w:bottom w:w="80.0" w:type="dxa"/>
              <w:right w:w="120.0" w:type="dxa"/>
            </w:tcMar>
          </w:tcPr>
          <w:p w:rsidR="00000000" w:rsidDel="00000000" w:rsidP="00000000" w:rsidRDefault="00000000" w:rsidRPr="00000000" w14:paraId="0000007D">
            <w:pPr>
              <w:spacing w:line="240" w:lineRule="auto"/>
              <w:rPr>
                <w:b w:val="1"/>
                <w:bCs w:val="1"/>
                <w:color w:val="ffffff"/>
                <w:sz w:val="20"/>
                <w:szCs w:val="20"/>
              </w:rPr>
            </w:pPr>
            <w:r w:rsidDel="00000000" w:rsidR="00000000" w:rsidRPr="00000000">
              <w:rPr>
                <w:b w:val="1"/>
                <w:bCs w:val="1"/>
                <w:color w:val="ffffff"/>
                <w:sz w:val="20"/>
                <w:szCs w:val="20"/>
                <w:rtl w:val="0"/>
              </w:rPr>
              <w:t xml:space="preserve">Model</w:t>
            </w:r>
          </w:p>
        </w:tc>
        <w:tc>
          <w:tcPr>
            <w:tcBorders>
              <w:top w:color="cccccc" w:space="0" w:sz="6" w:val="single"/>
              <w:left w:color="cccccc" w:space="0" w:sz="6" w:val="single"/>
              <w:bottom w:color="cccccc" w:space="0" w:sz="6" w:val="single"/>
              <w:right w:color="cccccc" w:space="0" w:sz="6" w:val="single"/>
            </w:tcBorders>
            <w:shd w:fill="2e75b6" w:val="clear"/>
            <w:tcMar>
              <w:top w:w="80.0" w:type="dxa"/>
              <w:left w:w="120.0" w:type="dxa"/>
              <w:bottom w:w="80.0" w:type="dxa"/>
              <w:right w:w="120.0" w:type="dxa"/>
            </w:tcMar>
          </w:tcPr>
          <w:p w:rsidR="00000000" w:rsidDel="00000000" w:rsidP="00000000" w:rsidRDefault="00000000" w:rsidRPr="00000000" w14:paraId="0000007E">
            <w:pPr>
              <w:spacing w:line="240" w:lineRule="auto"/>
              <w:rPr>
                <w:b w:val="1"/>
                <w:bCs w:val="1"/>
                <w:color w:val="ffffff"/>
                <w:sz w:val="20"/>
                <w:szCs w:val="20"/>
              </w:rPr>
            </w:pPr>
            <w:r w:rsidDel="00000000" w:rsidR="00000000" w:rsidRPr="00000000">
              <w:rPr>
                <w:b w:val="1"/>
                <w:bCs w:val="1"/>
                <w:color w:val="ffffff"/>
                <w:sz w:val="20"/>
                <w:szCs w:val="20"/>
                <w:rtl w:val="0"/>
              </w:rPr>
              <w:t xml:space="preserve">Dataset</w:t>
            </w:r>
          </w:p>
        </w:tc>
        <w:tc>
          <w:tcPr>
            <w:tcBorders>
              <w:top w:color="cccccc" w:space="0" w:sz="6" w:val="single"/>
              <w:left w:color="cccccc" w:space="0" w:sz="6" w:val="single"/>
              <w:bottom w:color="cccccc" w:space="0" w:sz="6" w:val="single"/>
              <w:right w:color="cccccc" w:space="0" w:sz="6" w:val="single"/>
            </w:tcBorders>
            <w:shd w:fill="2e75b6" w:val="clear"/>
            <w:tcMar>
              <w:top w:w="80.0" w:type="dxa"/>
              <w:left w:w="120.0" w:type="dxa"/>
              <w:bottom w:w="80.0" w:type="dxa"/>
              <w:right w:w="120.0" w:type="dxa"/>
            </w:tcMar>
          </w:tcPr>
          <w:p w:rsidR="00000000" w:rsidDel="00000000" w:rsidP="00000000" w:rsidRDefault="00000000" w:rsidRPr="00000000" w14:paraId="0000007F">
            <w:pPr>
              <w:spacing w:after="160" w:before="240" w:lineRule="auto"/>
              <w:jc w:val="both"/>
              <w:rPr>
                <w:b w:val="1"/>
                <w:bCs w:val="1"/>
                <w:color w:val="ffffff"/>
                <w:sz w:val="20"/>
                <w:szCs w:val="20"/>
              </w:rPr>
            </w:pPr>
            <w:r w:rsidDel="00000000" w:rsidR="00000000" w:rsidRPr="00000000">
              <w:rPr>
                <w:b w:val="1"/>
                <w:bCs w:val="1"/>
                <w:color w:val="ffffff"/>
                <w:sz w:val="20"/>
                <w:szCs w:val="20"/>
                <w:rtl w:val="0"/>
              </w:rPr>
              <w:t xml:space="preserve">R² (Train)</w:t>
            </w:r>
          </w:p>
        </w:tc>
        <w:tc>
          <w:tcPr>
            <w:tcBorders>
              <w:top w:color="cccccc" w:space="0" w:sz="6" w:val="single"/>
              <w:left w:color="cccccc" w:space="0" w:sz="6" w:val="single"/>
              <w:bottom w:color="cccccc" w:space="0" w:sz="6" w:val="single"/>
              <w:right w:color="cccccc" w:space="0" w:sz="6" w:val="single"/>
            </w:tcBorders>
            <w:shd w:fill="2e75b6" w:val="clear"/>
            <w:tcMar>
              <w:top w:w="80.0" w:type="dxa"/>
              <w:left w:w="120.0" w:type="dxa"/>
              <w:bottom w:w="80.0" w:type="dxa"/>
              <w:right w:w="120.0" w:type="dxa"/>
            </w:tcMar>
          </w:tcPr>
          <w:p w:rsidR="00000000" w:rsidDel="00000000" w:rsidP="00000000" w:rsidRDefault="00000000" w:rsidRPr="00000000" w14:paraId="00000080">
            <w:pPr>
              <w:spacing w:after="160" w:before="240" w:lineRule="auto"/>
              <w:jc w:val="both"/>
              <w:rPr>
                <w:b w:val="1"/>
                <w:bCs w:val="1"/>
                <w:color w:val="ffffff"/>
                <w:sz w:val="20"/>
                <w:szCs w:val="20"/>
              </w:rPr>
            </w:pPr>
            <w:r w:rsidDel="00000000" w:rsidR="00000000" w:rsidRPr="00000000">
              <w:rPr>
                <w:b w:val="1"/>
                <w:bCs w:val="1"/>
                <w:color w:val="ffffff"/>
                <w:sz w:val="20"/>
                <w:szCs w:val="20"/>
                <w:rtl w:val="0"/>
              </w:rPr>
              <w:t xml:space="preserve">R² (Test/In-sample)</w:t>
            </w:r>
          </w:p>
        </w:tc>
        <w:tc>
          <w:tcPr>
            <w:tcBorders>
              <w:top w:color="cccccc" w:space="0" w:sz="6" w:val="single"/>
              <w:left w:color="cccccc" w:space="0" w:sz="6" w:val="single"/>
              <w:bottom w:color="cccccc" w:space="0" w:sz="6" w:val="single"/>
              <w:right w:color="cccccc" w:space="0" w:sz="6" w:val="single"/>
            </w:tcBorders>
            <w:shd w:fill="2e75b6" w:val="clear"/>
            <w:tcMar>
              <w:top w:w="80.0" w:type="dxa"/>
              <w:left w:w="120.0" w:type="dxa"/>
              <w:bottom w:w="80.0" w:type="dxa"/>
              <w:right w:w="120.0" w:type="dxa"/>
            </w:tcMar>
          </w:tcPr>
          <w:p w:rsidR="00000000" w:rsidDel="00000000" w:rsidP="00000000" w:rsidRDefault="00000000" w:rsidRPr="00000000" w14:paraId="00000081">
            <w:pPr>
              <w:spacing w:after="160" w:before="240" w:lineRule="auto"/>
              <w:jc w:val="both"/>
              <w:rPr>
                <w:b w:val="1"/>
                <w:bCs w:val="1"/>
                <w:color w:val="ffffff"/>
                <w:sz w:val="20"/>
                <w:szCs w:val="20"/>
              </w:rPr>
            </w:pPr>
            <w:r w:rsidDel="00000000" w:rsidR="00000000" w:rsidRPr="00000000">
              <w:rPr>
                <w:b w:val="1"/>
                <w:bCs w:val="1"/>
                <w:color w:val="ffffff"/>
                <w:sz w:val="20"/>
                <w:szCs w:val="20"/>
                <w:rtl w:val="0"/>
              </w:rPr>
              <w:t xml:space="preserve">MAE</w:t>
            </w:r>
          </w:p>
        </w:tc>
        <w:tc>
          <w:tcPr>
            <w:tcBorders>
              <w:top w:color="cccccc" w:space="0" w:sz="6" w:val="single"/>
              <w:left w:color="cccccc" w:space="0" w:sz="6" w:val="single"/>
              <w:bottom w:color="cccccc" w:space="0" w:sz="6" w:val="single"/>
              <w:right w:color="cccccc" w:space="0" w:sz="6" w:val="single"/>
            </w:tcBorders>
            <w:shd w:fill="2e75b6" w:val="clear"/>
            <w:tcMar>
              <w:top w:w="80.0" w:type="dxa"/>
              <w:left w:w="120.0" w:type="dxa"/>
              <w:bottom w:w="80.0" w:type="dxa"/>
              <w:right w:w="120.0" w:type="dxa"/>
            </w:tcMar>
          </w:tcPr>
          <w:p w:rsidR="00000000" w:rsidDel="00000000" w:rsidP="00000000" w:rsidRDefault="00000000" w:rsidRPr="00000000" w14:paraId="00000082">
            <w:pPr>
              <w:spacing w:after="160" w:before="240" w:lineRule="auto"/>
              <w:jc w:val="both"/>
              <w:rPr>
                <w:b w:val="1"/>
                <w:bCs w:val="1"/>
                <w:color w:val="ffffff"/>
                <w:sz w:val="20"/>
                <w:szCs w:val="20"/>
              </w:rPr>
            </w:pPr>
            <w:r w:rsidDel="00000000" w:rsidR="00000000" w:rsidRPr="00000000">
              <w:rPr>
                <w:b w:val="1"/>
                <w:bCs w:val="1"/>
                <w:color w:val="ffffff"/>
                <w:sz w:val="20"/>
                <w:szCs w:val="20"/>
                <w:rtl w:val="0"/>
              </w:rPr>
              <w:t xml:space="preserve">Key Observation</w:t>
            </w:r>
          </w:p>
        </w:tc>
      </w:tr>
      <w:tr>
        <w:trPr>
          <w:cantSplit w:val="0"/>
          <w:trHeight w:val="585" w:hRule="atLeast"/>
          <w:tblHeader w:val="0"/>
        </w:trPr>
        <w:tc>
          <w:tcPr>
            <w:tcBorders>
              <w:top w:color="cccccc" w:space="0" w:sz="6" w:val="single"/>
              <w:left w:color="cccccc" w:space="0" w:sz="6" w:val="single"/>
              <w:bottom w:color="cccccc" w:space="0" w:sz="6" w:val="single"/>
              <w:right w:color="cccccc" w:space="0" w:sz="6" w:val="single"/>
            </w:tcBorders>
            <w:shd w:fill="f2f7fc" w:val="clear"/>
            <w:tcMar>
              <w:top w:w="80.0" w:type="dxa"/>
              <w:left w:w="120.0" w:type="dxa"/>
              <w:bottom w:w="80.0" w:type="dxa"/>
              <w:right w:w="120.0" w:type="dxa"/>
            </w:tcMar>
          </w:tcPr>
          <w:p w:rsidR="00000000" w:rsidDel="00000000" w:rsidP="00000000" w:rsidRDefault="00000000" w:rsidRPr="00000000" w14:paraId="00000083">
            <w:pPr>
              <w:spacing w:line="240" w:lineRule="auto"/>
              <w:rPr>
                <w:sz w:val="20"/>
                <w:szCs w:val="20"/>
              </w:rPr>
            </w:pPr>
            <w:r w:rsidDel="00000000" w:rsidR="00000000" w:rsidRPr="00000000">
              <w:rPr>
                <w:sz w:val="20"/>
                <w:szCs w:val="20"/>
                <w:rtl w:val="0"/>
              </w:rPr>
              <w:t xml:space="preserve">Mean baseline</w:t>
            </w:r>
          </w:p>
        </w:tc>
        <w:tc>
          <w:tcPr>
            <w:tcBorders>
              <w:top w:color="cccccc" w:space="0" w:sz="6" w:val="single"/>
              <w:left w:color="cccccc" w:space="0" w:sz="6" w:val="single"/>
              <w:bottom w:color="cccccc" w:space="0" w:sz="6" w:val="single"/>
              <w:right w:color="cccccc" w:space="0" w:sz="6" w:val="single"/>
            </w:tcBorders>
            <w:shd w:fill="f2f7fc" w:val="clear"/>
            <w:tcMar>
              <w:top w:w="80.0" w:type="dxa"/>
              <w:left w:w="120.0" w:type="dxa"/>
              <w:bottom w:w="80.0" w:type="dxa"/>
              <w:right w:w="120.0" w:type="dxa"/>
            </w:tcMar>
          </w:tcPr>
          <w:p w:rsidR="00000000" w:rsidDel="00000000" w:rsidP="00000000" w:rsidRDefault="00000000" w:rsidRPr="00000000" w14:paraId="00000084">
            <w:pPr>
              <w:spacing w:line="240" w:lineRule="auto"/>
              <w:rPr>
                <w:sz w:val="20"/>
                <w:szCs w:val="20"/>
              </w:rPr>
            </w:pPr>
            <w:r w:rsidDel="00000000" w:rsidR="00000000" w:rsidRPr="00000000">
              <w:rPr>
                <w:sz w:val="20"/>
                <w:szCs w:val="20"/>
                <w:rtl w:val="0"/>
              </w:rPr>
              <w:t xml:space="preserve">Option A (District)</w:t>
            </w:r>
          </w:p>
        </w:tc>
        <w:tc>
          <w:tcPr>
            <w:tcBorders>
              <w:top w:color="cccccc" w:space="0" w:sz="6" w:val="single"/>
              <w:left w:color="cccccc" w:space="0" w:sz="6" w:val="single"/>
              <w:bottom w:color="cccccc" w:space="0" w:sz="6" w:val="single"/>
              <w:right w:color="cccccc" w:space="0" w:sz="6" w:val="single"/>
            </w:tcBorders>
            <w:shd w:fill="f2f7fc" w:val="clear"/>
            <w:tcMar>
              <w:top w:w="80.0" w:type="dxa"/>
              <w:left w:w="120.0" w:type="dxa"/>
              <w:bottom w:w="80.0" w:type="dxa"/>
              <w:right w:w="120.0" w:type="dxa"/>
            </w:tcMar>
          </w:tcPr>
          <w:p w:rsidR="00000000" w:rsidDel="00000000" w:rsidP="00000000" w:rsidRDefault="00000000" w:rsidRPr="00000000" w14:paraId="00000085">
            <w:pPr>
              <w:spacing w:line="240" w:lineRule="auto"/>
              <w:rPr>
                <w:sz w:val="20"/>
                <w:szCs w:val="20"/>
              </w:rPr>
            </w:pPr>
            <w:r w:rsidDel="00000000" w:rsidR="00000000" w:rsidRPr="00000000">
              <w:rPr>
                <w:sz w:val="20"/>
                <w:szCs w:val="20"/>
                <w:rtl w:val="0"/>
              </w:rPr>
              <w:t xml:space="preserve">-</w:t>
            </w:r>
          </w:p>
        </w:tc>
        <w:tc>
          <w:tcPr>
            <w:tcBorders>
              <w:top w:color="cccccc" w:space="0" w:sz="6" w:val="single"/>
              <w:left w:color="cccccc" w:space="0" w:sz="6" w:val="single"/>
              <w:bottom w:color="cccccc" w:space="0" w:sz="6" w:val="single"/>
              <w:right w:color="cccccc" w:space="0" w:sz="6" w:val="single"/>
            </w:tcBorders>
            <w:shd w:fill="f2f7fc" w:val="clear"/>
            <w:tcMar>
              <w:top w:w="80.0" w:type="dxa"/>
              <w:left w:w="120.0" w:type="dxa"/>
              <w:bottom w:w="80.0" w:type="dxa"/>
              <w:right w:w="120.0" w:type="dxa"/>
            </w:tcMar>
          </w:tcPr>
          <w:p w:rsidR="00000000" w:rsidDel="00000000" w:rsidP="00000000" w:rsidRDefault="00000000" w:rsidRPr="00000000" w14:paraId="00000086">
            <w:pPr>
              <w:spacing w:line="240" w:lineRule="auto"/>
              <w:rPr>
                <w:sz w:val="20"/>
                <w:szCs w:val="20"/>
              </w:rPr>
            </w:pPr>
            <w:r w:rsidDel="00000000" w:rsidR="00000000" w:rsidRPr="00000000">
              <w:rPr>
                <w:sz w:val="20"/>
                <w:szCs w:val="20"/>
                <w:rtl w:val="0"/>
              </w:rPr>
              <w:t xml:space="preserve">-</w:t>
            </w:r>
          </w:p>
        </w:tc>
        <w:tc>
          <w:tcPr>
            <w:tcBorders>
              <w:top w:color="cccccc" w:space="0" w:sz="6" w:val="single"/>
              <w:left w:color="cccccc" w:space="0" w:sz="6" w:val="single"/>
              <w:bottom w:color="cccccc" w:space="0" w:sz="6" w:val="single"/>
              <w:right w:color="cccccc" w:space="0" w:sz="6" w:val="single"/>
            </w:tcBorders>
            <w:shd w:fill="f2f7fc" w:val="clear"/>
            <w:tcMar>
              <w:top w:w="80.0" w:type="dxa"/>
              <w:left w:w="120.0" w:type="dxa"/>
              <w:bottom w:w="80.0" w:type="dxa"/>
              <w:right w:w="120.0" w:type="dxa"/>
            </w:tcMar>
          </w:tcPr>
          <w:p w:rsidR="00000000" w:rsidDel="00000000" w:rsidP="00000000" w:rsidRDefault="00000000" w:rsidRPr="00000000" w14:paraId="00000087">
            <w:pPr>
              <w:spacing w:line="240" w:lineRule="auto"/>
              <w:rPr>
                <w:sz w:val="20"/>
                <w:szCs w:val="20"/>
              </w:rPr>
            </w:pPr>
            <w:r w:rsidDel="00000000" w:rsidR="00000000" w:rsidRPr="00000000">
              <w:rPr>
                <w:sz w:val="20"/>
                <w:szCs w:val="20"/>
                <w:rtl w:val="0"/>
              </w:rPr>
              <w:t xml:space="preserve">3.74</w:t>
            </w:r>
          </w:p>
        </w:tc>
        <w:tc>
          <w:tcPr>
            <w:tcBorders>
              <w:top w:color="cccccc" w:space="0" w:sz="6" w:val="single"/>
              <w:left w:color="cccccc" w:space="0" w:sz="6" w:val="single"/>
              <w:bottom w:color="cccccc" w:space="0" w:sz="6" w:val="single"/>
              <w:right w:color="cccccc" w:space="0" w:sz="6" w:val="single"/>
            </w:tcBorders>
            <w:shd w:fill="f2f7fc" w:val="clear"/>
            <w:tcMar>
              <w:top w:w="80.0" w:type="dxa"/>
              <w:left w:w="120.0" w:type="dxa"/>
              <w:bottom w:w="80.0" w:type="dxa"/>
              <w:right w:w="120.0" w:type="dxa"/>
            </w:tcMar>
          </w:tcPr>
          <w:p w:rsidR="00000000" w:rsidDel="00000000" w:rsidP="00000000" w:rsidRDefault="00000000" w:rsidRPr="00000000" w14:paraId="00000088">
            <w:pPr>
              <w:spacing w:line="240" w:lineRule="auto"/>
              <w:rPr>
                <w:sz w:val="20"/>
                <w:szCs w:val="20"/>
              </w:rPr>
            </w:pPr>
            <w:r w:rsidDel="00000000" w:rsidR="00000000" w:rsidRPr="00000000">
              <w:rPr>
                <w:sz w:val="20"/>
                <w:szCs w:val="20"/>
                <w:rtl w:val="0"/>
              </w:rPr>
              <w:t xml:space="preserve">Trivial predictor</w:t>
            </w:r>
          </w:p>
        </w:tc>
      </w:tr>
      <w:tr>
        <w:trPr>
          <w:cantSplit w:val="0"/>
          <w:trHeight w:val="585" w:hRule="atLeast"/>
          <w:tblHeader w:val="0"/>
        </w:trPr>
        <w:tc>
          <w:tcPr>
            <w:tcBorders>
              <w:top w:color="cccccc" w:space="0" w:sz="6" w:val="single"/>
              <w:left w:color="cccccc" w:space="0" w:sz="6" w:val="single"/>
              <w:bottom w:color="cccccc" w:space="0" w:sz="6" w:val="single"/>
              <w:right w:color="cccccc" w:space="0" w:sz="6" w:val="single"/>
            </w:tcBorders>
            <w:shd w:fill="ffffff" w:val="clear"/>
            <w:tcMar>
              <w:top w:w="80.0" w:type="dxa"/>
              <w:left w:w="120.0" w:type="dxa"/>
              <w:bottom w:w="80.0" w:type="dxa"/>
              <w:right w:w="120.0" w:type="dxa"/>
            </w:tcMar>
          </w:tcPr>
          <w:p w:rsidR="00000000" w:rsidDel="00000000" w:rsidP="00000000" w:rsidRDefault="00000000" w:rsidRPr="00000000" w14:paraId="00000089">
            <w:pPr>
              <w:spacing w:line="240" w:lineRule="auto"/>
              <w:rPr>
                <w:sz w:val="20"/>
                <w:szCs w:val="20"/>
              </w:rPr>
            </w:pPr>
            <w:r w:rsidDel="00000000" w:rsidR="00000000" w:rsidRPr="00000000">
              <w:rPr>
                <w:sz w:val="20"/>
                <w:szCs w:val="20"/>
                <w:rtl w:val="0"/>
              </w:rPr>
              <w:t xml:space="preserve">Linear Regression</w:t>
            </w:r>
          </w:p>
        </w:tc>
        <w:tc>
          <w:tcPr>
            <w:tcBorders>
              <w:top w:color="cccccc" w:space="0" w:sz="6" w:val="single"/>
              <w:left w:color="cccccc" w:space="0" w:sz="6" w:val="single"/>
              <w:bottom w:color="cccccc" w:space="0" w:sz="6" w:val="single"/>
              <w:right w:color="cccccc" w:space="0" w:sz="6" w:val="single"/>
            </w:tcBorders>
            <w:shd w:fill="ffffff" w:val="clear"/>
            <w:tcMar>
              <w:top w:w="80.0" w:type="dxa"/>
              <w:left w:w="120.0" w:type="dxa"/>
              <w:bottom w:w="80.0" w:type="dxa"/>
              <w:right w:w="120.0" w:type="dxa"/>
            </w:tcMar>
          </w:tcPr>
          <w:p w:rsidR="00000000" w:rsidDel="00000000" w:rsidP="00000000" w:rsidRDefault="00000000" w:rsidRPr="00000000" w14:paraId="0000008A">
            <w:pPr>
              <w:spacing w:line="240" w:lineRule="auto"/>
              <w:rPr>
                <w:sz w:val="20"/>
                <w:szCs w:val="20"/>
              </w:rPr>
            </w:pPr>
            <w:r w:rsidDel="00000000" w:rsidR="00000000" w:rsidRPr="00000000">
              <w:rPr>
                <w:sz w:val="20"/>
                <w:szCs w:val="20"/>
                <w:rtl w:val="0"/>
              </w:rPr>
              <w:t xml:space="preserve">Option A (District)</w:t>
            </w:r>
          </w:p>
        </w:tc>
        <w:tc>
          <w:tcPr>
            <w:tcBorders>
              <w:top w:color="cccccc" w:space="0" w:sz="6" w:val="single"/>
              <w:left w:color="cccccc" w:space="0" w:sz="6" w:val="single"/>
              <w:bottom w:color="cccccc" w:space="0" w:sz="6" w:val="single"/>
              <w:right w:color="cccccc" w:space="0" w:sz="6" w:val="single"/>
            </w:tcBorders>
            <w:shd w:fill="ffffff" w:val="clear"/>
            <w:tcMar>
              <w:top w:w="80.0" w:type="dxa"/>
              <w:left w:w="120.0" w:type="dxa"/>
              <w:bottom w:w="80.0" w:type="dxa"/>
              <w:right w:w="120.0" w:type="dxa"/>
            </w:tcMar>
          </w:tcPr>
          <w:p w:rsidR="00000000" w:rsidDel="00000000" w:rsidP="00000000" w:rsidRDefault="00000000" w:rsidRPr="00000000" w14:paraId="0000008B">
            <w:pPr>
              <w:spacing w:line="240" w:lineRule="auto"/>
              <w:rPr>
                <w:sz w:val="20"/>
                <w:szCs w:val="20"/>
              </w:rPr>
            </w:pPr>
            <w:r w:rsidDel="00000000" w:rsidR="00000000" w:rsidRPr="00000000">
              <w:rPr>
                <w:sz w:val="20"/>
                <w:szCs w:val="20"/>
                <w:rtl w:val="0"/>
              </w:rPr>
              <w:t xml:space="preserve">~0.01</w:t>
            </w:r>
          </w:p>
        </w:tc>
        <w:tc>
          <w:tcPr>
            <w:tcBorders>
              <w:top w:color="cccccc" w:space="0" w:sz="6" w:val="single"/>
              <w:left w:color="cccccc" w:space="0" w:sz="6" w:val="single"/>
              <w:bottom w:color="cccccc" w:space="0" w:sz="6" w:val="single"/>
              <w:right w:color="cccccc" w:space="0" w:sz="6" w:val="single"/>
            </w:tcBorders>
            <w:shd w:fill="ffffff" w:val="clear"/>
            <w:tcMar>
              <w:top w:w="80.0" w:type="dxa"/>
              <w:left w:w="120.0" w:type="dxa"/>
              <w:bottom w:w="80.0" w:type="dxa"/>
              <w:right w:w="120.0" w:type="dxa"/>
            </w:tcMar>
          </w:tcPr>
          <w:p w:rsidR="00000000" w:rsidDel="00000000" w:rsidP="00000000" w:rsidRDefault="00000000" w:rsidRPr="00000000" w14:paraId="0000008C">
            <w:pPr>
              <w:spacing w:line="240" w:lineRule="auto"/>
              <w:rPr>
                <w:sz w:val="20"/>
                <w:szCs w:val="20"/>
              </w:rPr>
            </w:pPr>
            <w:r w:rsidDel="00000000" w:rsidR="00000000" w:rsidRPr="00000000">
              <w:rPr>
                <w:sz w:val="20"/>
                <w:szCs w:val="20"/>
                <w:rtl w:val="0"/>
              </w:rPr>
              <w:t xml:space="preserve">~0.01(Test)</w:t>
            </w:r>
          </w:p>
        </w:tc>
        <w:tc>
          <w:tcPr>
            <w:tcBorders>
              <w:top w:color="cccccc" w:space="0" w:sz="6" w:val="single"/>
              <w:left w:color="cccccc" w:space="0" w:sz="6" w:val="single"/>
              <w:bottom w:color="cccccc" w:space="0" w:sz="6" w:val="single"/>
              <w:right w:color="cccccc" w:space="0" w:sz="6" w:val="single"/>
            </w:tcBorders>
            <w:shd w:fill="ffffff" w:val="clear"/>
            <w:tcMar>
              <w:top w:w="80.0" w:type="dxa"/>
              <w:left w:w="120.0" w:type="dxa"/>
              <w:bottom w:w="80.0" w:type="dxa"/>
              <w:right w:w="120.0" w:type="dxa"/>
            </w:tcMar>
          </w:tcPr>
          <w:p w:rsidR="00000000" w:rsidDel="00000000" w:rsidP="00000000" w:rsidRDefault="00000000" w:rsidRPr="00000000" w14:paraId="0000008D">
            <w:pPr>
              <w:spacing w:line="240" w:lineRule="auto"/>
              <w:rPr>
                <w:sz w:val="20"/>
                <w:szCs w:val="20"/>
              </w:rPr>
            </w:pPr>
            <w:r w:rsidDel="00000000" w:rsidR="00000000" w:rsidRPr="00000000">
              <w:rPr>
                <w:sz w:val="20"/>
                <w:szCs w:val="20"/>
                <w:rtl w:val="0"/>
              </w:rPr>
              <w:t xml:space="preserve">8.25</w:t>
            </w:r>
          </w:p>
        </w:tc>
        <w:tc>
          <w:tcPr>
            <w:tcBorders>
              <w:top w:color="cccccc" w:space="0" w:sz="6" w:val="single"/>
              <w:left w:color="cccccc" w:space="0" w:sz="6" w:val="single"/>
              <w:bottom w:color="cccccc" w:space="0" w:sz="6" w:val="single"/>
              <w:right w:color="cccccc" w:space="0" w:sz="6" w:val="single"/>
            </w:tcBorders>
            <w:shd w:fill="ffffff" w:val="clear"/>
            <w:tcMar>
              <w:top w:w="80.0" w:type="dxa"/>
              <w:left w:w="120.0" w:type="dxa"/>
              <w:bottom w:w="80.0" w:type="dxa"/>
              <w:right w:w="120.0" w:type="dxa"/>
            </w:tcMar>
          </w:tcPr>
          <w:p w:rsidR="00000000" w:rsidDel="00000000" w:rsidP="00000000" w:rsidRDefault="00000000" w:rsidRPr="00000000" w14:paraId="0000008E">
            <w:pPr>
              <w:spacing w:line="240" w:lineRule="auto"/>
              <w:rPr>
                <w:sz w:val="20"/>
                <w:szCs w:val="20"/>
              </w:rPr>
            </w:pPr>
            <w:r w:rsidDel="00000000" w:rsidR="00000000" w:rsidRPr="00000000">
              <w:rPr>
                <w:sz w:val="20"/>
                <w:szCs w:val="20"/>
                <w:rtl w:val="0"/>
              </w:rPr>
              <w:t xml:space="preserve">No improvement over baseline</w:t>
            </w:r>
          </w:p>
        </w:tc>
      </w:tr>
      <w:tr>
        <w:trPr>
          <w:cantSplit w:val="0"/>
          <w:trHeight w:val="780" w:hRule="atLeast"/>
          <w:tblHeader w:val="0"/>
        </w:trPr>
        <w:tc>
          <w:tcPr>
            <w:tcBorders>
              <w:top w:color="cccccc" w:space="0" w:sz="6" w:val="single"/>
              <w:left w:color="cccccc" w:space="0" w:sz="6" w:val="single"/>
              <w:bottom w:color="cccccc" w:space="0" w:sz="6" w:val="single"/>
              <w:right w:color="cccccc" w:space="0" w:sz="6" w:val="single"/>
            </w:tcBorders>
            <w:shd w:fill="f2f7fc" w:val="clear"/>
            <w:tcMar>
              <w:top w:w="80.0" w:type="dxa"/>
              <w:left w:w="120.0" w:type="dxa"/>
              <w:bottom w:w="80.0" w:type="dxa"/>
              <w:right w:w="120.0" w:type="dxa"/>
            </w:tcMar>
          </w:tcPr>
          <w:p w:rsidR="00000000" w:rsidDel="00000000" w:rsidP="00000000" w:rsidRDefault="00000000" w:rsidRPr="00000000" w14:paraId="0000008F">
            <w:pPr>
              <w:spacing w:line="240" w:lineRule="auto"/>
              <w:rPr>
                <w:sz w:val="20"/>
                <w:szCs w:val="20"/>
              </w:rPr>
            </w:pPr>
            <w:r w:rsidDel="00000000" w:rsidR="00000000" w:rsidRPr="00000000">
              <w:rPr>
                <w:sz w:val="20"/>
                <w:szCs w:val="20"/>
                <w:rtl w:val="0"/>
              </w:rPr>
              <w:t xml:space="preserve">Random Forest</w:t>
            </w:r>
          </w:p>
        </w:tc>
        <w:tc>
          <w:tcPr>
            <w:tcBorders>
              <w:top w:color="cccccc" w:space="0" w:sz="6" w:val="single"/>
              <w:left w:color="cccccc" w:space="0" w:sz="6" w:val="single"/>
              <w:bottom w:color="cccccc" w:space="0" w:sz="6" w:val="single"/>
              <w:right w:color="cccccc" w:space="0" w:sz="6" w:val="single"/>
            </w:tcBorders>
            <w:shd w:fill="f2f7fc" w:val="clear"/>
            <w:tcMar>
              <w:top w:w="80.0" w:type="dxa"/>
              <w:left w:w="120.0" w:type="dxa"/>
              <w:bottom w:w="80.0" w:type="dxa"/>
              <w:right w:w="120.0" w:type="dxa"/>
            </w:tcMar>
          </w:tcPr>
          <w:p w:rsidR="00000000" w:rsidDel="00000000" w:rsidP="00000000" w:rsidRDefault="00000000" w:rsidRPr="00000000" w14:paraId="00000090">
            <w:pPr>
              <w:spacing w:line="240" w:lineRule="auto"/>
              <w:rPr>
                <w:sz w:val="20"/>
                <w:szCs w:val="20"/>
              </w:rPr>
            </w:pPr>
            <w:r w:rsidDel="00000000" w:rsidR="00000000" w:rsidRPr="00000000">
              <w:rPr>
                <w:sz w:val="20"/>
                <w:szCs w:val="20"/>
                <w:rtl w:val="0"/>
              </w:rPr>
              <w:t xml:space="preserve">Option A (District)</w:t>
            </w:r>
          </w:p>
        </w:tc>
        <w:tc>
          <w:tcPr>
            <w:tcBorders>
              <w:top w:color="cccccc" w:space="0" w:sz="6" w:val="single"/>
              <w:left w:color="cccccc" w:space="0" w:sz="6" w:val="single"/>
              <w:bottom w:color="cccccc" w:space="0" w:sz="6" w:val="single"/>
              <w:right w:color="cccccc" w:space="0" w:sz="6" w:val="single"/>
            </w:tcBorders>
            <w:shd w:fill="f2f7fc" w:val="clear"/>
            <w:tcMar>
              <w:top w:w="80.0" w:type="dxa"/>
              <w:left w:w="120.0" w:type="dxa"/>
              <w:bottom w:w="80.0" w:type="dxa"/>
              <w:right w:w="120.0" w:type="dxa"/>
            </w:tcMar>
          </w:tcPr>
          <w:p w:rsidR="00000000" w:rsidDel="00000000" w:rsidP="00000000" w:rsidRDefault="00000000" w:rsidRPr="00000000" w14:paraId="00000091">
            <w:pPr>
              <w:spacing w:line="240" w:lineRule="auto"/>
              <w:rPr>
                <w:sz w:val="20"/>
                <w:szCs w:val="20"/>
              </w:rPr>
            </w:pPr>
            <w:r w:rsidDel="00000000" w:rsidR="00000000" w:rsidRPr="00000000">
              <w:rPr>
                <w:sz w:val="20"/>
                <w:szCs w:val="20"/>
                <w:rtl w:val="0"/>
              </w:rPr>
              <w:t xml:space="preserve">0.17</w:t>
            </w:r>
          </w:p>
        </w:tc>
        <w:tc>
          <w:tcPr>
            <w:tcBorders>
              <w:top w:color="cccccc" w:space="0" w:sz="6" w:val="single"/>
              <w:left w:color="cccccc" w:space="0" w:sz="6" w:val="single"/>
              <w:bottom w:color="cccccc" w:space="0" w:sz="6" w:val="single"/>
              <w:right w:color="cccccc" w:space="0" w:sz="6" w:val="single"/>
            </w:tcBorders>
            <w:shd w:fill="f2f7fc" w:val="clear"/>
            <w:tcMar>
              <w:top w:w="80.0" w:type="dxa"/>
              <w:left w:w="120.0" w:type="dxa"/>
              <w:bottom w:w="80.0" w:type="dxa"/>
              <w:right w:w="120.0" w:type="dxa"/>
            </w:tcMar>
          </w:tcPr>
          <w:p w:rsidR="00000000" w:rsidDel="00000000" w:rsidP="00000000" w:rsidRDefault="00000000" w:rsidRPr="00000000" w14:paraId="00000092">
            <w:pPr>
              <w:spacing w:line="240" w:lineRule="auto"/>
              <w:rPr>
                <w:sz w:val="20"/>
                <w:szCs w:val="20"/>
              </w:rPr>
            </w:pPr>
            <w:r w:rsidDel="00000000" w:rsidR="00000000" w:rsidRPr="00000000">
              <w:rPr>
                <w:sz w:val="20"/>
                <w:szCs w:val="20"/>
                <w:rtl w:val="0"/>
              </w:rPr>
              <w:t xml:space="preserve">~0.00(Test)</w:t>
            </w:r>
          </w:p>
        </w:tc>
        <w:tc>
          <w:tcPr>
            <w:tcBorders>
              <w:top w:color="cccccc" w:space="0" w:sz="6" w:val="single"/>
              <w:left w:color="cccccc" w:space="0" w:sz="6" w:val="single"/>
              <w:bottom w:color="cccccc" w:space="0" w:sz="6" w:val="single"/>
              <w:right w:color="cccccc" w:space="0" w:sz="6" w:val="single"/>
            </w:tcBorders>
            <w:shd w:fill="f2f7fc" w:val="clear"/>
            <w:tcMar>
              <w:top w:w="80.0" w:type="dxa"/>
              <w:left w:w="120.0" w:type="dxa"/>
              <w:bottom w:w="80.0" w:type="dxa"/>
              <w:right w:w="120.0" w:type="dxa"/>
            </w:tcMar>
          </w:tcPr>
          <w:p w:rsidR="00000000" w:rsidDel="00000000" w:rsidP="00000000" w:rsidRDefault="00000000" w:rsidRPr="00000000" w14:paraId="00000093">
            <w:pPr>
              <w:spacing w:line="240" w:lineRule="auto"/>
              <w:rPr>
                <w:sz w:val="20"/>
                <w:szCs w:val="20"/>
              </w:rPr>
            </w:pPr>
            <w:r w:rsidDel="00000000" w:rsidR="00000000" w:rsidRPr="00000000">
              <w:rPr>
                <w:sz w:val="20"/>
                <w:szCs w:val="20"/>
                <w:rtl w:val="0"/>
              </w:rPr>
              <w:t xml:space="preserve">-</w:t>
            </w:r>
          </w:p>
        </w:tc>
        <w:tc>
          <w:tcPr>
            <w:tcBorders>
              <w:top w:color="cccccc" w:space="0" w:sz="6" w:val="single"/>
              <w:left w:color="cccccc" w:space="0" w:sz="6" w:val="single"/>
              <w:bottom w:color="cccccc" w:space="0" w:sz="6" w:val="single"/>
              <w:right w:color="cccccc" w:space="0" w:sz="6" w:val="single"/>
            </w:tcBorders>
            <w:shd w:fill="f2f7fc" w:val="clear"/>
            <w:tcMar>
              <w:top w:w="80.0" w:type="dxa"/>
              <w:left w:w="120.0" w:type="dxa"/>
              <w:bottom w:w="80.0" w:type="dxa"/>
              <w:right w:w="120.0" w:type="dxa"/>
            </w:tcMar>
          </w:tcPr>
          <w:p w:rsidR="00000000" w:rsidDel="00000000" w:rsidP="00000000" w:rsidRDefault="00000000" w:rsidRPr="00000000" w14:paraId="00000094">
            <w:pPr>
              <w:spacing w:line="240" w:lineRule="auto"/>
              <w:rPr>
                <w:sz w:val="20"/>
                <w:szCs w:val="20"/>
              </w:rPr>
            </w:pPr>
            <w:r w:rsidDel="00000000" w:rsidR="00000000" w:rsidRPr="00000000">
              <w:rPr>
                <w:sz w:val="20"/>
                <w:szCs w:val="20"/>
                <w:rtl w:val="0"/>
              </w:rPr>
              <w:t xml:space="preserve">Severe overfitting</w:t>
            </w:r>
          </w:p>
        </w:tc>
      </w:tr>
      <w:tr>
        <w:trPr>
          <w:cantSplit w:val="0"/>
          <w:trHeight w:val="255" w:hRule="atLeast"/>
          <w:tblHeader w:val="0"/>
        </w:trPr>
        <w:tc>
          <w:tcPr>
            <w:tcBorders>
              <w:top w:color="cccccc" w:space="0" w:sz="6" w:val="single"/>
              <w:left w:color="cccccc" w:space="0" w:sz="6" w:val="single"/>
              <w:bottom w:color="cccccc" w:space="0" w:sz="6" w:val="single"/>
              <w:right w:color="cccccc" w:space="0" w:sz="6" w:val="single"/>
            </w:tcBorders>
            <w:shd w:fill="ffffff" w:val="clear"/>
            <w:tcMar>
              <w:top w:w="80.0" w:type="dxa"/>
              <w:left w:w="120.0" w:type="dxa"/>
              <w:bottom w:w="80.0" w:type="dxa"/>
              <w:right w:w="120.0" w:type="dxa"/>
            </w:tcMar>
          </w:tcPr>
          <w:p w:rsidR="00000000" w:rsidDel="00000000" w:rsidP="00000000" w:rsidRDefault="00000000" w:rsidRPr="00000000" w14:paraId="00000095">
            <w:pPr>
              <w:spacing w:line="240" w:lineRule="auto"/>
              <w:rPr>
                <w:sz w:val="20"/>
                <w:szCs w:val="20"/>
              </w:rPr>
            </w:pPr>
            <w:r w:rsidDel="00000000" w:rsidR="00000000" w:rsidRPr="00000000">
              <w:rPr>
                <w:sz w:val="20"/>
                <w:szCs w:val="20"/>
                <w:rtl w:val="0"/>
              </w:rPr>
              <w:t xml:space="preserve">Linear Regression</w:t>
            </w:r>
          </w:p>
        </w:tc>
        <w:tc>
          <w:tcPr>
            <w:tcBorders>
              <w:top w:color="cccccc" w:space="0" w:sz="6" w:val="single"/>
              <w:left w:color="cccccc" w:space="0" w:sz="6" w:val="single"/>
              <w:bottom w:color="cccccc" w:space="0" w:sz="6" w:val="single"/>
              <w:right w:color="cccccc" w:space="0" w:sz="6" w:val="single"/>
            </w:tcBorders>
            <w:shd w:fill="ffffff" w:val="clear"/>
            <w:tcMar>
              <w:top w:w="80.0" w:type="dxa"/>
              <w:left w:w="120.0" w:type="dxa"/>
              <w:bottom w:w="80.0" w:type="dxa"/>
              <w:right w:w="120.0" w:type="dxa"/>
            </w:tcMar>
          </w:tcPr>
          <w:p w:rsidR="00000000" w:rsidDel="00000000" w:rsidP="00000000" w:rsidRDefault="00000000" w:rsidRPr="00000000" w14:paraId="00000096">
            <w:pPr>
              <w:spacing w:line="240" w:lineRule="auto"/>
              <w:rPr>
                <w:sz w:val="20"/>
                <w:szCs w:val="20"/>
              </w:rPr>
            </w:pPr>
            <w:r w:rsidDel="00000000" w:rsidR="00000000" w:rsidRPr="00000000">
              <w:rPr>
                <w:sz w:val="20"/>
                <w:szCs w:val="20"/>
                <w:rtl w:val="0"/>
              </w:rPr>
              <w:t xml:space="preserve">Option B (State)</w:t>
            </w:r>
          </w:p>
        </w:tc>
        <w:tc>
          <w:tcPr>
            <w:tcBorders>
              <w:top w:color="cccccc" w:space="0" w:sz="6" w:val="single"/>
              <w:left w:color="cccccc" w:space="0" w:sz="6" w:val="single"/>
              <w:bottom w:color="cccccc" w:space="0" w:sz="6" w:val="single"/>
              <w:right w:color="cccccc" w:space="0" w:sz="6" w:val="single"/>
            </w:tcBorders>
            <w:tcMar>
              <w:top w:w="80.0" w:type="dxa"/>
              <w:left w:w="120.0" w:type="dxa"/>
              <w:bottom w:w="80.0" w:type="dxa"/>
              <w:right w:w="120.0" w:type="dxa"/>
            </w:tcMar>
          </w:tcPr>
          <w:p w:rsidR="00000000" w:rsidDel="00000000" w:rsidP="00000000" w:rsidRDefault="00000000" w:rsidRPr="00000000" w14:paraId="00000097">
            <w:pPr>
              <w:spacing w:line="240" w:lineRule="auto"/>
              <w:rPr>
                <w:sz w:val="20"/>
                <w:szCs w:val="20"/>
              </w:rPr>
            </w:pPr>
            <w:r w:rsidDel="00000000" w:rsidR="00000000" w:rsidRPr="00000000">
              <w:rPr>
                <w:sz w:val="20"/>
                <w:szCs w:val="20"/>
                <w:rtl w:val="0"/>
              </w:rPr>
              <w:t xml:space="preserve">-</w:t>
            </w:r>
          </w:p>
        </w:tc>
        <w:tc>
          <w:tcPr>
            <w:tcBorders>
              <w:top w:color="cccccc" w:space="0" w:sz="6" w:val="single"/>
              <w:left w:color="cccccc" w:space="0" w:sz="6" w:val="single"/>
              <w:bottom w:color="cccccc" w:space="0" w:sz="6" w:val="single"/>
              <w:right w:color="cccccc" w:space="0" w:sz="6" w:val="single"/>
            </w:tcBorders>
            <w:tcMar>
              <w:top w:w="80.0" w:type="dxa"/>
              <w:left w:w="120.0" w:type="dxa"/>
              <w:bottom w:w="80.0" w:type="dxa"/>
              <w:right w:w="120.0" w:type="dxa"/>
            </w:tcMar>
          </w:tcPr>
          <w:p w:rsidR="00000000" w:rsidDel="00000000" w:rsidP="00000000" w:rsidRDefault="00000000" w:rsidRPr="00000000" w14:paraId="00000098">
            <w:pPr>
              <w:spacing w:line="240" w:lineRule="auto"/>
              <w:rPr>
                <w:sz w:val="20"/>
                <w:szCs w:val="20"/>
              </w:rPr>
            </w:pPr>
            <w:r w:rsidDel="00000000" w:rsidR="00000000" w:rsidRPr="00000000">
              <w:rPr>
                <w:sz w:val="20"/>
                <w:szCs w:val="20"/>
                <w:rtl w:val="0"/>
              </w:rPr>
              <w:t xml:space="preserve">0.19 (in-sample)</w:t>
            </w:r>
          </w:p>
        </w:tc>
        <w:tc>
          <w:tcPr>
            <w:tcBorders>
              <w:top w:color="cccccc" w:space="0" w:sz="6" w:val="single"/>
              <w:left w:color="cccccc" w:space="0" w:sz="6" w:val="single"/>
              <w:bottom w:color="cccccc" w:space="0" w:sz="6" w:val="single"/>
              <w:right w:color="cccccc" w:space="0" w:sz="6" w:val="single"/>
            </w:tcBorders>
            <w:tcMar>
              <w:top w:w="80.0" w:type="dxa"/>
              <w:left w:w="120.0" w:type="dxa"/>
              <w:bottom w:w="80.0" w:type="dxa"/>
              <w:right w:w="120.0" w:type="dxa"/>
            </w:tcMar>
          </w:tcPr>
          <w:p w:rsidR="00000000" w:rsidDel="00000000" w:rsidP="00000000" w:rsidRDefault="00000000" w:rsidRPr="00000000" w14:paraId="00000099">
            <w:pPr>
              <w:spacing w:line="240" w:lineRule="auto"/>
              <w:rPr>
                <w:sz w:val="20"/>
                <w:szCs w:val="20"/>
              </w:rPr>
            </w:pPr>
            <w:r w:rsidDel="00000000" w:rsidR="00000000" w:rsidRPr="00000000">
              <w:rPr>
                <w:sz w:val="20"/>
                <w:szCs w:val="20"/>
                <w:rtl w:val="0"/>
              </w:rPr>
              <w:t xml:space="preserve">-</w:t>
            </w:r>
          </w:p>
        </w:tc>
        <w:tc>
          <w:tcPr>
            <w:tcBorders>
              <w:top w:color="cccccc" w:space="0" w:sz="6" w:val="single"/>
              <w:left w:color="cccccc" w:space="0" w:sz="6" w:val="single"/>
              <w:bottom w:color="cccccc" w:space="0" w:sz="6" w:val="single"/>
              <w:right w:color="cccccc" w:space="0" w:sz="6" w:val="single"/>
            </w:tcBorders>
            <w:tcMar>
              <w:top w:w="80.0" w:type="dxa"/>
              <w:left w:w="120.0" w:type="dxa"/>
              <w:bottom w:w="80.0" w:type="dxa"/>
              <w:right w:w="120.0" w:type="dxa"/>
            </w:tcMar>
          </w:tcPr>
          <w:p w:rsidR="00000000" w:rsidDel="00000000" w:rsidP="00000000" w:rsidRDefault="00000000" w:rsidRPr="00000000" w14:paraId="0000009A">
            <w:pPr>
              <w:spacing w:line="240" w:lineRule="auto"/>
              <w:rPr>
                <w:sz w:val="20"/>
                <w:szCs w:val="20"/>
              </w:rPr>
            </w:pPr>
            <w:r w:rsidDel="00000000" w:rsidR="00000000" w:rsidRPr="00000000">
              <w:rPr>
                <w:sz w:val="20"/>
                <w:szCs w:val="20"/>
                <w:rtl w:val="0"/>
              </w:rPr>
              <w:t xml:space="preserve">No comparable</w:t>
            </w:r>
          </w:p>
        </w:tc>
      </w:tr>
    </w:tbl>
    <w:p w:rsidR="00000000" w:rsidDel="00000000" w:rsidP="00000000" w:rsidRDefault="00000000" w:rsidRPr="00000000" w14:paraId="0000009B">
      <w:pPr>
        <w:spacing w:after="120" w:before="300" w:lineRule="auto"/>
        <w:rPr>
          <w:sz w:val="24"/>
          <w:szCs w:val="24"/>
        </w:rPr>
      </w:pPr>
      <w:r w:rsidDel="00000000" w:rsidR="00000000" w:rsidRPr="00000000">
        <w:rPr>
          <w:b w:val="1"/>
          <w:bCs w:val="1"/>
          <w:rtl w:val="0"/>
        </w:rPr>
        <w:t xml:space="preserve">Table 4:</w:t>
      </w:r>
      <w:r w:rsidDel="00000000" w:rsidR="00000000" w:rsidRPr="00000000">
        <w:rPr>
          <w:sz w:val="24"/>
          <w:szCs w:val="24"/>
          <w:rtl w:val="0"/>
        </w:rPr>
        <w:t xml:space="preserve"> Regression Results</w:t>
      </w:r>
    </w:p>
    <w:p w:rsidR="00000000" w:rsidDel="00000000" w:rsidP="00000000" w:rsidRDefault="00000000" w:rsidRPr="00000000" w14:paraId="0000009C">
      <w:pPr>
        <w:spacing w:after="120" w:before="300" w:lineRule="auto"/>
        <w:rPr>
          <w:sz w:val="24"/>
          <w:szCs w:val="24"/>
        </w:rPr>
      </w:pPr>
      <w:r w:rsidDel="00000000" w:rsidR="00000000" w:rsidRPr="00000000">
        <w:rPr>
          <w:sz w:val="24"/>
          <w:szCs w:val="24"/>
          <w:rtl w:val="0"/>
        </w:rPr>
        <w:t xml:space="preserve">Overall, results across all models consistently indicate that county-level socioeconomic variables alone have limited predictive power for district-level dropout variation.   </w:t>
      </w:r>
    </w:p>
    <w:p w:rsidR="00000000" w:rsidDel="00000000" w:rsidP="00000000" w:rsidRDefault="00000000" w:rsidRPr="00000000" w14:paraId="0000009D">
      <w:pPr>
        <w:spacing w:after="120" w:before="300" w:lineRule="auto"/>
        <w:rPr>
          <w:sz w:val="24"/>
          <w:szCs w:val="24"/>
        </w:rPr>
      </w:pPr>
      <w:r w:rsidDel="00000000" w:rsidR="00000000" w:rsidRPr="00000000">
        <w:rPr>
          <w:sz w:val="24"/>
          <w:szCs w:val="24"/>
          <w:rtl w:val="0"/>
        </w:rPr>
        <w:t xml:space="preserve">The coefficient values for the state-level baseline model are shown below. The poverty rate had a value of 0.08, the median income had a value of -0.06, and the bachelor's degree rate had a value of -0.01 for the state-level analysis. The regression results indicate that the poverty rate had the largest impact of these three variables, but the overall effect size was minimal. </w:t>
      </w:r>
    </w:p>
    <w:p w:rsidR="00000000" w:rsidDel="00000000" w:rsidP="00000000" w:rsidRDefault="00000000" w:rsidRPr="00000000" w14:paraId="0000009E">
      <w:pPr>
        <w:spacing w:after="120" w:before="300" w:lineRule="auto"/>
        <w:rPr>
          <w:sz w:val="24"/>
          <w:szCs w:val="24"/>
        </w:rPr>
      </w:pPr>
      <w:r w:rsidDel="00000000" w:rsidR="00000000" w:rsidRPr="00000000">
        <w:rPr>
          <w:sz w:val="24"/>
          <w:szCs w:val="24"/>
          <w:rtl w:val="0"/>
        </w:rPr>
        <w:t xml:space="preserve">The last two figures below are the heatmap and the scatter plots for the state-level analysis. The coefficient values for this level of granularity were slightly more stable than at the district level, but remain weak overall. At this level, the poverty rate and median income show a weak association with dropout rate. The bachelor's degree rate shows a weak to at most moderate association.  </w:t>
      </w:r>
    </w:p>
    <w:p w:rsidR="00000000" w:rsidDel="00000000" w:rsidP="00000000" w:rsidRDefault="00000000" w:rsidRPr="00000000" w14:paraId="0000009F">
      <w:pPr>
        <w:spacing w:after="120" w:before="300" w:lineRule="auto"/>
        <w:rPr>
          <w:sz w:val="24"/>
          <w:szCs w:val="24"/>
        </w:rPr>
      </w:pPr>
      <w:r w:rsidDel="00000000" w:rsidR="00000000" w:rsidRPr="00000000">
        <w:rPr>
          <w:sz w:val="24"/>
          <w:szCs w:val="24"/>
          <w:rtl w:val="0"/>
        </w:rPr>
        <w:t xml:space="preserve">Overall, these results show a weak relationship between the poverty rate, median income, and bachelor's degree rate to the dropout rate at the state level, and do not indicate strong predictive power. </w:t>
      </w:r>
    </w:p>
    <w:p w:rsidR="00000000" w:rsidDel="00000000" w:rsidP="00000000" w:rsidRDefault="00000000" w:rsidRPr="00000000" w14:paraId="000000A0">
      <w:pPr>
        <w:spacing w:after="120" w:before="300" w:lineRule="auto"/>
        <w:rPr>
          <w:b w:val="1"/>
          <w:bCs w:val="1"/>
          <w:color w:val="1f3864"/>
          <w:sz w:val="28"/>
          <w:szCs w:val="28"/>
        </w:rPr>
      </w:pPr>
      <w:r w:rsidDel="00000000" w:rsidR="00000000" w:rsidRPr="00000000">
        <w:rPr>
          <w:b w:val="1"/>
          <w:bCs w:val="1"/>
          <w:color w:val="1f3864"/>
          <w:sz w:val="28"/>
          <w:szCs w:val="28"/>
        </w:rPr>
        <w:drawing>
          <wp:inline distB="114300" distT="114300" distL="114300" distR="114300">
            <wp:extent cx="5224463" cy="3731759"/>
            <wp:effectExtent b="0" l="0" r="0" t="0"/>
            <wp:docPr id="3"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5224463" cy="3731759"/>
                    </a:xfrm>
                    <a:prstGeom prst="rect"/>
                    <a:ln/>
                  </pic:spPr>
                </pic:pic>
              </a:graphicData>
            </a:graphic>
          </wp:inline>
        </w:drawing>
      </w:r>
      <w:r w:rsidDel="00000000" w:rsidR="00000000" w:rsidRPr="00000000">
        <w:rPr>
          <w:rtl w:val="0"/>
        </w:rPr>
      </w:r>
    </w:p>
    <w:p w:rsidR="00000000" w:rsidDel="00000000" w:rsidP="00000000" w:rsidRDefault="00000000" w:rsidRPr="00000000" w14:paraId="000000A1">
      <w:pPr>
        <w:spacing w:after="120" w:before="300" w:lineRule="auto"/>
        <w:rPr/>
      </w:pPr>
      <w:r w:rsidDel="00000000" w:rsidR="00000000" w:rsidRPr="00000000">
        <w:rPr>
          <w:b w:val="1"/>
          <w:bCs w:val="1"/>
          <w:rtl w:val="0"/>
        </w:rPr>
        <w:t xml:space="preserve">Figure 1:</w:t>
      </w:r>
      <w:r w:rsidDel="00000000" w:rsidR="00000000" w:rsidRPr="00000000">
        <w:rPr>
          <w:rtl w:val="0"/>
        </w:rPr>
        <w:t xml:space="preserve"> District-level heatmap</w:t>
      </w:r>
      <w:r w:rsidDel="00000000" w:rsidR="00000000" w:rsidRPr="00000000">
        <w:rPr>
          <w:rtl w:val="0"/>
        </w:rPr>
      </w:r>
    </w:p>
    <w:p w:rsidR="00000000" w:rsidDel="00000000" w:rsidP="00000000" w:rsidRDefault="00000000" w:rsidRPr="00000000" w14:paraId="000000A2">
      <w:pPr>
        <w:spacing w:after="120" w:before="300" w:lineRule="auto"/>
        <w:rPr>
          <w:b w:val="1"/>
          <w:bCs w:val="1"/>
          <w:color w:val="1f3864"/>
          <w:sz w:val="28"/>
          <w:szCs w:val="28"/>
        </w:rPr>
      </w:pPr>
      <w:r w:rsidDel="00000000" w:rsidR="00000000" w:rsidRPr="00000000">
        <w:rPr>
          <w:rtl w:val="0"/>
        </w:rPr>
      </w:r>
    </w:p>
    <w:p w:rsidR="00000000" w:rsidDel="00000000" w:rsidP="00000000" w:rsidRDefault="00000000" w:rsidRPr="00000000" w14:paraId="000000A3">
      <w:pPr>
        <w:spacing w:after="120" w:before="300" w:lineRule="auto"/>
        <w:rPr>
          <w:b w:val="1"/>
          <w:bCs w:val="1"/>
          <w:color w:val="1f3864"/>
          <w:sz w:val="28"/>
          <w:szCs w:val="28"/>
        </w:rPr>
      </w:pPr>
      <w:r w:rsidDel="00000000" w:rsidR="00000000" w:rsidRPr="00000000">
        <w:rPr>
          <w:rtl w:val="0"/>
        </w:rPr>
      </w:r>
    </w:p>
    <w:p w:rsidR="00000000" w:rsidDel="00000000" w:rsidP="00000000" w:rsidRDefault="00000000" w:rsidRPr="00000000" w14:paraId="000000A4">
      <w:pPr>
        <w:spacing w:after="120" w:before="300" w:lineRule="auto"/>
        <w:rPr>
          <w:b w:val="1"/>
          <w:bCs w:val="1"/>
          <w:color w:val="1f3864"/>
          <w:sz w:val="28"/>
          <w:szCs w:val="28"/>
        </w:rPr>
      </w:pPr>
      <w:r w:rsidDel="00000000" w:rsidR="00000000" w:rsidRPr="00000000">
        <w:rPr>
          <w:b w:val="1"/>
          <w:bCs w:val="1"/>
          <w:color w:val="1f3864"/>
          <w:sz w:val="28"/>
          <w:szCs w:val="28"/>
        </w:rPr>
        <w:drawing>
          <wp:inline distB="114300" distT="114300" distL="114300" distR="114300">
            <wp:extent cx="6452676" cy="2150892"/>
            <wp:effectExtent b="0" l="0" r="0" t="0"/>
            <wp:docPr id="4"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6452676" cy="2150892"/>
                    </a:xfrm>
                    <a:prstGeom prst="rect"/>
                    <a:ln/>
                  </pic:spPr>
                </pic:pic>
              </a:graphicData>
            </a:graphic>
          </wp:inline>
        </w:drawing>
      </w:r>
      <w:r w:rsidDel="00000000" w:rsidR="00000000" w:rsidRPr="00000000">
        <w:rPr>
          <w:rtl w:val="0"/>
        </w:rPr>
      </w:r>
    </w:p>
    <w:p w:rsidR="00000000" w:rsidDel="00000000" w:rsidP="00000000" w:rsidRDefault="00000000" w:rsidRPr="00000000" w14:paraId="000000A5">
      <w:pPr>
        <w:spacing w:after="120" w:before="300" w:lineRule="auto"/>
        <w:rPr>
          <w:b w:val="1"/>
          <w:bCs w:val="1"/>
          <w:color w:val="1f3864"/>
          <w:sz w:val="28"/>
          <w:szCs w:val="28"/>
        </w:rPr>
      </w:pPr>
      <w:r w:rsidDel="00000000" w:rsidR="00000000" w:rsidRPr="00000000">
        <w:rPr>
          <w:b w:val="1"/>
          <w:bCs w:val="1"/>
          <w:rtl w:val="0"/>
        </w:rPr>
        <w:t xml:space="preserve">Figure 2:</w:t>
      </w:r>
      <w:r w:rsidDel="00000000" w:rsidR="00000000" w:rsidRPr="00000000">
        <w:rPr>
          <w:rtl w:val="0"/>
        </w:rPr>
        <w:t xml:space="preserve"> District-level scatter plots</w:t>
      </w:r>
      <w:r w:rsidDel="00000000" w:rsidR="00000000" w:rsidRPr="00000000">
        <w:rPr>
          <w:rtl w:val="0"/>
        </w:rPr>
      </w:r>
    </w:p>
    <w:p w:rsidR="00000000" w:rsidDel="00000000" w:rsidP="00000000" w:rsidRDefault="00000000" w:rsidRPr="00000000" w14:paraId="000000A6">
      <w:pPr>
        <w:spacing w:after="120" w:before="300" w:lineRule="auto"/>
        <w:rPr>
          <w:b w:val="1"/>
          <w:bCs w:val="1"/>
          <w:color w:val="1f3864"/>
          <w:sz w:val="28"/>
          <w:szCs w:val="28"/>
        </w:rPr>
      </w:pPr>
      <w:r w:rsidDel="00000000" w:rsidR="00000000" w:rsidRPr="00000000">
        <w:rPr>
          <w:b w:val="1"/>
          <w:bCs w:val="1"/>
          <w:color w:val="1f3864"/>
          <w:sz w:val="28"/>
          <w:szCs w:val="28"/>
        </w:rPr>
        <w:drawing>
          <wp:inline distB="114300" distT="114300" distL="114300" distR="114300">
            <wp:extent cx="5224463" cy="3525356"/>
            <wp:effectExtent b="0" l="0" r="0" t="0"/>
            <wp:docPr id="2"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224463" cy="3525356"/>
                    </a:xfrm>
                    <a:prstGeom prst="rect"/>
                    <a:ln/>
                  </pic:spPr>
                </pic:pic>
              </a:graphicData>
            </a:graphic>
          </wp:inline>
        </w:drawing>
      </w:r>
      <w:r w:rsidDel="00000000" w:rsidR="00000000" w:rsidRPr="00000000">
        <w:rPr>
          <w:rtl w:val="0"/>
        </w:rPr>
      </w:r>
    </w:p>
    <w:p w:rsidR="00000000" w:rsidDel="00000000" w:rsidP="00000000" w:rsidRDefault="00000000" w:rsidRPr="00000000" w14:paraId="000000A7">
      <w:pPr>
        <w:spacing w:after="120" w:before="300" w:lineRule="auto"/>
        <w:rPr>
          <w:b w:val="1"/>
          <w:bCs w:val="1"/>
          <w:color w:val="1f3864"/>
          <w:sz w:val="28"/>
          <w:szCs w:val="28"/>
        </w:rPr>
      </w:pPr>
      <w:r w:rsidDel="00000000" w:rsidR="00000000" w:rsidRPr="00000000">
        <w:rPr>
          <w:b w:val="1"/>
          <w:bCs w:val="1"/>
          <w:rtl w:val="0"/>
        </w:rPr>
        <w:t xml:space="preserve">Figure 3:</w:t>
      </w:r>
      <w:r w:rsidDel="00000000" w:rsidR="00000000" w:rsidRPr="00000000">
        <w:rPr>
          <w:rtl w:val="0"/>
        </w:rPr>
        <w:t xml:space="preserve"> State-level heatmap</w:t>
      </w:r>
      <w:r w:rsidDel="00000000" w:rsidR="00000000" w:rsidRPr="00000000">
        <w:rPr>
          <w:rtl w:val="0"/>
        </w:rPr>
      </w:r>
    </w:p>
    <w:p w:rsidR="00000000" w:rsidDel="00000000" w:rsidP="00000000" w:rsidRDefault="00000000" w:rsidRPr="00000000" w14:paraId="000000A8">
      <w:pPr>
        <w:spacing w:after="120" w:before="300" w:lineRule="auto"/>
        <w:rPr>
          <w:b w:val="1"/>
          <w:bCs w:val="1"/>
          <w:color w:val="1f3864"/>
          <w:sz w:val="28"/>
          <w:szCs w:val="28"/>
        </w:rPr>
      </w:pPr>
      <w:r w:rsidDel="00000000" w:rsidR="00000000" w:rsidRPr="00000000">
        <w:rPr>
          <w:b w:val="1"/>
          <w:bCs w:val="1"/>
          <w:color w:val="1f3864"/>
          <w:sz w:val="28"/>
          <w:szCs w:val="28"/>
        </w:rPr>
        <w:drawing>
          <wp:inline distB="114300" distT="114300" distL="114300" distR="114300">
            <wp:extent cx="6272213" cy="2140996"/>
            <wp:effectExtent b="0" l="0" r="0" t="0"/>
            <wp:docPr id="1"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6272213" cy="2140996"/>
                    </a:xfrm>
                    <a:prstGeom prst="rect"/>
                    <a:ln/>
                  </pic:spPr>
                </pic:pic>
              </a:graphicData>
            </a:graphic>
          </wp:inline>
        </w:drawing>
      </w:r>
      <w:r w:rsidDel="00000000" w:rsidR="00000000" w:rsidRPr="00000000">
        <w:rPr>
          <w:rtl w:val="0"/>
        </w:rPr>
      </w:r>
    </w:p>
    <w:p w:rsidR="00000000" w:rsidDel="00000000" w:rsidP="00000000" w:rsidRDefault="00000000" w:rsidRPr="00000000" w14:paraId="000000A9">
      <w:pPr>
        <w:spacing w:after="120" w:before="300" w:lineRule="auto"/>
        <w:rPr/>
      </w:pPr>
      <w:r w:rsidDel="00000000" w:rsidR="00000000" w:rsidRPr="00000000">
        <w:rPr>
          <w:b w:val="1"/>
          <w:bCs w:val="1"/>
          <w:rtl w:val="0"/>
        </w:rPr>
        <w:t xml:space="preserve">Figure 4:</w:t>
      </w:r>
      <w:r w:rsidDel="00000000" w:rsidR="00000000" w:rsidRPr="00000000">
        <w:rPr>
          <w:rtl w:val="0"/>
        </w:rPr>
        <w:t xml:space="preserve"> State-level scatter plots</w:t>
      </w:r>
    </w:p>
    <w:p w:rsidR="00000000" w:rsidDel="00000000" w:rsidP="00000000" w:rsidRDefault="00000000" w:rsidRPr="00000000" w14:paraId="000000AA">
      <w:pPr>
        <w:spacing w:after="120" w:before="300" w:lineRule="auto"/>
        <w:rPr/>
      </w:pPr>
      <w:r w:rsidDel="00000000" w:rsidR="00000000" w:rsidRPr="00000000">
        <w:rPr>
          <w:rtl w:val="0"/>
        </w:rPr>
      </w:r>
    </w:p>
    <w:p w:rsidR="00000000" w:rsidDel="00000000" w:rsidP="00000000" w:rsidRDefault="00000000" w:rsidRPr="00000000" w14:paraId="000000AB">
      <w:pPr>
        <w:spacing w:after="120" w:before="300" w:lineRule="auto"/>
        <w:rPr>
          <w:b w:val="1"/>
          <w:bCs w:val="1"/>
          <w:color w:val="1f3864"/>
          <w:sz w:val="28"/>
          <w:szCs w:val="28"/>
        </w:rPr>
      </w:pPr>
      <w:r w:rsidDel="00000000" w:rsidR="00000000" w:rsidRPr="00000000">
        <w:rPr>
          <w:b w:val="1"/>
          <w:bCs w:val="1"/>
          <w:color w:val="1f3864"/>
          <w:sz w:val="28"/>
          <w:szCs w:val="28"/>
          <w:rtl w:val="0"/>
        </w:rPr>
        <w:t xml:space="preserve">5. Discussion &amp; Limitations</w:t>
      </w:r>
    </w:p>
    <w:p w:rsidR="00000000" w:rsidDel="00000000" w:rsidP="00000000" w:rsidRDefault="00000000" w:rsidRPr="00000000" w14:paraId="000000AC">
      <w:pPr>
        <w:spacing w:after="120" w:before="300" w:lineRule="auto"/>
        <w:rPr>
          <w:sz w:val="24"/>
          <w:szCs w:val="24"/>
        </w:rPr>
      </w:pPr>
      <w:r w:rsidDel="00000000" w:rsidR="00000000" w:rsidRPr="00000000">
        <w:rPr>
          <w:sz w:val="24"/>
          <w:szCs w:val="24"/>
          <w:rtl w:val="0"/>
        </w:rPr>
        <w:t xml:space="preserve">The results consistently show weak predictive performance across all models, including linear regression and Random Forest. Even when nonlinear relationships are introduced, the explanatory power remains low, suggesting a limited predictive signal in the current socioeconomic variables. </w:t>
      </w:r>
    </w:p>
    <w:p w:rsidR="00000000" w:rsidDel="00000000" w:rsidP="00000000" w:rsidRDefault="00000000" w:rsidRPr="00000000" w14:paraId="000000AD">
      <w:pPr>
        <w:spacing w:after="120" w:before="300" w:lineRule="auto"/>
        <w:rPr>
          <w:sz w:val="24"/>
          <w:szCs w:val="24"/>
        </w:rPr>
      </w:pPr>
      <w:r w:rsidDel="00000000" w:rsidR="00000000" w:rsidRPr="00000000">
        <w:rPr>
          <w:sz w:val="24"/>
          <w:szCs w:val="24"/>
          <w:rtl w:val="0"/>
        </w:rPr>
        <w:t xml:space="preserve">One of the limitations of the model that we used was the limited number of input variables. The district-level analysis indicated that there was little to no predictive relationship between the poverty rate, median income, and the bachelor's degree rate to the dropout rate. This suggests that the variable socioeconomic variables alone are not sufficient to explain variation in dropout outcomes.</w:t>
      </w:r>
    </w:p>
    <w:p w:rsidR="00000000" w:rsidDel="00000000" w:rsidP="00000000" w:rsidRDefault="00000000" w:rsidRPr="00000000" w14:paraId="000000AE">
      <w:pPr>
        <w:spacing w:after="120" w:before="300" w:lineRule="auto"/>
        <w:rPr>
          <w:sz w:val="24"/>
          <w:szCs w:val="24"/>
        </w:rPr>
      </w:pPr>
      <w:r w:rsidDel="00000000" w:rsidR="00000000" w:rsidRPr="00000000">
        <w:rPr>
          <w:sz w:val="24"/>
          <w:szCs w:val="24"/>
          <w:rtl w:val="0"/>
        </w:rPr>
        <w:t xml:space="preserve">Another limitation was the secondary work that we did with the state-level aggregation. The reduction to roughly 50 observations limited the power of the model. This limited sample size does two things. First, it removes the variation that you will get at a more granular level and local level. Second, this aggregation may mask heterogeneous effects across districts, leading to overly simplified relationships between input variables and the dropout rate.</w:t>
      </w:r>
    </w:p>
    <w:p w:rsidR="00000000" w:rsidDel="00000000" w:rsidP="00000000" w:rsidRDefault="00000000" w:rsidRPr="00000000" w14:paraId="000000AF">
      <w:pPr>
        <w:spacing w:after="120" w:before="300" w:lineRule="auto"/>
        <w:rPr>
          <w:sz w:val="24"/>
          <w:szCs w:val="24"/>
        </w:rPr>
      </w:pPr>
      <w:r w:rsidDel="00000000" w:rsidR="00000000" w:rsidRPr="00000000">
        <w:rPr>
          <w:rtl w:val="0"/>
        </w:rPr>
      </w:r>
    </w:p>
    <w:p w:rsidR="00000000" w:rsidDel="00000000" w:rsidP="00000000" w:rsidRDefault="00000000" w:rsidRPr="00000000" w14:paraId="000000B0">
      <w:pPr>
        <w:spacing w:after="120" w:before="300" w:lineRule="auto"/>
        <w:rPr>
          <w:b w:val="1"/>
          <w:bCs w:val="1"/>
          <w:color w:val="1f3864"/>
          <w:sz w:val="28"/>
          <w:szCs w:val="28"/>
        </w:rPr>
      </w:pPr>
      <w:r w:rsidDel="00000000" w:rsidR="00000000" w:rsidRPr="00000000">
        <w:rPr>
          <w:b w:val="1"/>
          <w:bCs w:val="1"/>
          <w:color w:val="1f3864"/>
          <w:sz w:val="28"/>
          <w:szCs w:val="28"/>
          <w:rtl w:val="0"/>
        </w:rPr>
        <w:t xml:space="preserve">6. Conclusion &amp; Future Work</w:t>
      </w:r>
    </w:p>
    <w:p w:rsidR="00000000" w:rsidDel="00000000" w:rsidP="00000000" w:rsidRDefault="00000000" w:rsidRPr="00000000" w14:paraId="000000B1">
      <w:pPr>
        <w:spacing w:after="120" w:before="300" w:lineRule="auto"/>
        <w:rPr>
          <w:sz w:val="24"/>
          <w:szCs w:val="24"/>
        </w:rPr>
      </w:pPr>
      <w:r w:rsidDel="00000000" w:rsidR="00000000" w:rsidRPr="00000000">
        <w:rPr>
          <w:sz w:val="24"/>
          <w:szCs w:val="24"/>
          <w:rtl w:val="0"/>
        </w:rPr>
        <w:t xml:space="preserve">In conclusion, this project explored whether socioeconomic indicators from ACS data are associated with the K-12 dropout outcomes from NCES data. The results show that the poverty rate, median income, and bachelor's degree rate had weak predictive relationships with the dropout rate across. </w:t>
      </w:r>
    </w:p>
    <w:p w:rsidR="00000000" w:rsidDel="00000000" w:rsidP="00000000" w:rsidRDefault="00000000" w:rsidRPr="00000000" w14:paraId="000000B2">
      <w:pPr>
        <w:spacing w:after="120" w:before="300" w:lineRule="auto"/>
        <w:rPr>
          <w:sz w:val="24"/>
          <w:szCs w:val="24"/>
        </w:rPr>
      </w:pPr>
      <w:r w:rsidDel="00000000" w:rsidR="00000000" w:rsidRPr="00000000">
        <w:rPr>
          <w:sz w:val="24"/>
          <w:szCs w:val="24"/>
          <w:rtl w:val="0"/>
        </w:rPr>
        <w:t xml:space="preserve">Future work related to this project would involve an expansion of what was captured by the current model. This would include adding more input variables to the model to expand the input size. Another future addition would be to expand the years that are captured. A dataset that spans multiple years could give better insight into the impact that the variables have on dropout rates over time. </w:t>
      </w:r>
    </w:p>
    <w:p w:rsidR="00000000" w:rsidDel="00000000" w:rsidP="00000000" w:rsidRDefault="00000000" w:rsidRPr="00000000" w14:paraId="000000B3">
      <w:pPr>
        <w:spacing w:after="120" w:before="300" w:lineRule="auto"/>
        <w:rPr>
          <w:sz w:val="24"/>
          <w:szCs w:val="24"/>
        </w:rPr>
      </w:pPr>
      <w:r w:rsidDel="00000000" w:rsidR="00000000" w:rsidRPr="00000000">
        <w:rPr>
          <w:rtl w:val="0"/>
        </w:rPr>
      </w:r>
    </w:p>
    <w:p w:rsidR="00000000" w:rsidDel="00000000" w:rsidP="00000000" w:rsidRDefault="00000000" w:rsidRPr="00000000" w14:paraId="000000B4">
      <w:pPr>
        <w:spacing w:after="120" w:before="300" w:lineRule="auto"/>
        <w:rPr>
          <w:sz w:val="24"/>
          <w:szCs w:val="24"/>
        </w:rPr>
      </w:pPr>
      <w:r w:rsidDel="00000000" w:rsidR="00000000" w:rsidRPr="00000000">
        <w:rPr>
          <w:rtl w:val="0"/>
        </w:rPr>
      </w:r>
    </w:p>
    <w:p w:rsidR="00000000" w:rsidDel="00000000" w:rsidP="00000000" w:rsidRDefault="00000000" w:rsidRPr="00000000" w14:paraId="000000B5">
      <w:pPr>
        <w:spacing w:after="120" w:before="300" w:lineRule="auto"/>
        <w:rPr>
          <w:sz w:val="24"/>
          <w:szCs w:val="24"/>
        </w:rPr>
      </w:pPr>
      <w:r w:rsidDel="00000000" w:rsidR="00000000" w:rsidRPr="00000000">
        <w:rPr>
          <w:rtl w:val="0"/>
        </w:rPr>
      </w:r>
    </w:p>
    <w:p w:rsidR="00000000" w:rsidDel="00000000" w:rsidP="00000000" w:rsidRDefault="00000000" w:rsidRPr="00000000" w14:paraId="000000B6">
      <w:pPr>
        <w:spacing w:after="120" w:before="300" w:lineRule="auto"/>
        <w:rPr>
          <w:sz w:val="24"/>
          <w:szCs w:val="24"/>
        </w:rPr>
      </w:pPr>
      <w:r w:rsidDel="00000000" w:rsidR="00000000" w:rsidRPr="00000000">
        <w:rPr>
          <w:rtl w:val="0"/>
        </w:rPr>
      </w:r>
    </w:p>
    <w:p w:rsidR="00000000" w:rsidDel="00000000" w:rsidP="00000000" w:rsidRDefault="00000000" w:rsidRPr="00000000" w14:paraId="000000B7">
      <w:pPr>
        <w:spacing w:after="120" w:before="300" w:lineRule="auto"/>
        <w:rPr>
          <w:b w:val="1"/>
          <w:bCs w:val="1"/>
          <w:color w:val="1f3864"/>
          <w:sz w:val="28"/>
          <w:szCs w:val="28"/>
        </w:rPr>
      </w:pPr>
      <w:r w:rsidDel="00000000" w:rsidR="00000000" w:rsidRPr="00000000">
        <w:rPr>
          <w:b w:val="1"/>
          <w:bCs w:val="1"/>
          <w:color w:val="1f3864"/>
          <w:sz w:val="28"/>
          <w:szCs w:val="28"/>
          <w:rtl w:val="0"/>
        </w:rPr>
        <w:t xml:space="preserve">References</w:t>
      </w:r>
    </w:p>
    <w:p w:rsidR="00000000" w:rsidDel="00000000" w:rsidP="00000000" w:rsidRDefault="00000000" w:rsidRPr="00000000" w14:paraId="000000B8">
      <w:pPr>
        <w:spacing w:line="360" w:lineRule="auto"/>
        <w:ind w:left="720" w:hanging="720"/>
        <w:rPr>
          <w:sz w:val="24"/>
          <w:szCs w:val="24"/>
        </w:rPr>
      </w:pPr>
      <w:r w:rsidDel="00000000" w:rsidR="00000000" w:rsidRPr="00000000">
        <w:rPr>
          <w:sz w:val="24"/>
          <w:szCs w:val="24"/>
          <w:rtl w:val="0"/>
        </w:rPr>
        <w:t xml:space="preserve">Almeda, M. V., et al. (2024). Systematic Literature Review on Explainable Learning Analytics and Educational Data Mining. ResearchGate. </w:t>
      </w:r>
      <w:hyperlink r:id="rId10">
        <w:r w:rsidDel="00000000" w:rsidR="00000000" w:rsidRPr="00000000">
          <w:rPr>
            <w:color w:val="1155cc"/>
            <w:sz w:val="24"/>
            <w:szCs w:val="24"/>
            <w:u w:val="single"/>
            <w:rtl w:val="0"/>
          </w:rPr>
          <w:t xml:space="preserve">https://www.researchgate.net/publication/398645869</w:t>
        </w:r>
      </w:hyperlink>
      <w:r w:rsidDel="00000000" w:rsidR="00000000" w:rsidRPr="00000000">
        <w:rPr>
          <w:rtl w:val="0"/>
        </w:rPr>
      </w:r>
    </w:p>
    <w:p w:rsidR="00000000" w:rsidDel="00000000" w:rsidP="00000000" w:rsidRDefault="00000000" w:rsidRPr="00000000" w14:paraId="000000B9">
      <w:pPr>
        <w:spacing w:line="360" w:lineRule="auto"/>
        <w:ind w:left="720" w:hanging="720"/>
        <w:rPr>
          <w:sz w:val="24"/>
          <w:szCs w:val="24"/>
        </w:rPr>
      </w:pPr>
      <w:r w:rsidDel="00000000" w:rsidR="00000000" w:rsidRPr="00000000">
        <w:rPr>
          <w:sz w:val="24"/>
          <w:szCs w:val="24"/>
          <w:rtl w:val="0"/>
        </w:rPr>
        <w:t xml:space="preserve">U.S. Census Bureau. (2023). Educational Attainment (S1501). </w:t>
      </w:r>
      <w:r w:rsidDel="00000000" w:rsidR="00000000" w:rsidRPr="00000000">
        <w:rPr>
          <w:i w:val="1"/>
          <w:iCs w:val="1"/>
          <w:sz w:val="24"/>
          <w:szCs w:val="24"/>
          <w:rtl w:val="0"/>
        </w:rPr>
        <w:t xml:space="preserve">American Community Survey 5-Year Estimates.</w:t>
      </w:r>
      <w:hyperlink r:id="rId11">
        <w:r w:rsidDel="00000000" w:rsidR="00000000" w:rsidRPr="00000000">
          <w:rPr>
            <w:color w:val="1155cc"/>
            <w:sz w:val="24"/>
            <w:szCs w:val="24"/>
            <w:u w:val="single"/>
            <w:rtl w:val="0"/>
          </w:rPr>
          <w:t xml:space="preserve"> https://data.census.gov/table/ACSST5Y2023.S1501</w:t>
        </w:r>
      </w:hyperlink>
      <w:r w:rsidDel="00000000" w:rsidR="00000000" w:rsidRPr="00000000">
        <w:rPr>
          <w:rtl w:val="0"/>
        </w:rPr>
      </w:r>
    </w:p>
    <w:p w:rsidR="00000000" w:rsidDel="00000000" w:rsidP="00000000" w:rsidRDefault="00000000" w:rsidRPr="00000000" w14:paraId="000000BA">
      <w:pPr>
        <w:spacing w:line="360" w:lineRule="auto"/>
        <w:ind w:left="720" w:hanging="720"/>
        <w:rPr>
          <w:sz w:val="24"/>
          <w:szCs w:val="24"/>
        </w:rPr>
      </w:pPr>
      <w:r w:rsidDel="00000000" w:rsidR="00000000" w:rsidRPr="00000000">
        <w:rPr>
          <w:sz w:val="24"/>
          <w:szCs w:val="24"/>
          <w:rtl w:val="0"/>
        </w:rPr>
        <w:t xml:space="preserve">U.S. Census Bureau. (2023). Poverty Status in the Past 12 Months (S1701). </w:t>
      </w:r>
      <w:r w:rsidDel="00000000" w:rsidR="00000000" w:rsidRPr="00000000">
        <w:rPr>
          <w:i w:val="1"/>
          <w:iCs w:val="1"/>
          <w:sz w:val="24"/>
          <w:szCs w:val="24"/>
          <w:rtl w:val="0"/>
        </w:rPr>
        <w:t xml:space="preserve">American Community Survey 5-Year Estimates</w:t>
      </w:r>
      <w:r w:rsidDel="00000000" w:rsidR="00000000" w:rsidRPr="00000000">
        <w:rPr>
          <w:sz w:val="24"/>
          <w:szCs w:val="24"/>
          <w:rtl w:val="0"/>
        </w:rPr>
        <w:t xml:space="preserve">. </w:t>
      </w:r>
      <w:hyperlink r:id="rId12">
        <w:r w:rsidDel="00000000" w:rsidR="00000000" w:rsidRPr="00000000">
          <w:rPr>
            <w:color w:val="1155cc"/>
            <w:sz w:val="24"/>
            <w:szCs w:val="24"/>
            <w:u w:val="single"/>
            <w:rtl w:val="0"/>
          </w:rPr>
          <w:t xml:space="preserve">https://data.census.gov</w:t>
        </w:r>
      </w:hyperlink>
      <w:r w:rsidDel="00000000" w:rsidR="00000000" w:rsidRPr="00000000">
        <w:rPr>
          <w:rtl w:val="0"/>
        </w:rPr>
      </w:r>
    </w:p>
    <w:p w:rsidR="00000000" w:rsidDel="00000000" w:rsidP="00000000" w:rsidRDefault="00000000" w:rsidRPr="00000000" w14:paraId="000000BB">
      <w:pPr>
        <w:spacing w:line="360" w:lineRule="auto"/>
        <w:ind w:left="720" w:hanging="720"/>
        <w:rPr>
          <w:sz w:val="24"/>
          <w:szCs w:val="24"/>
        </w:rPr>
      </w:pPr>
      <w:r w:rsidDel="00000000" w:rsidR="00000000" w:rsidRPr="00000000">
        <w:rPr>
          <w:sz w:val="24"/>
          <w:szCs w:val="24"/>
          <w:rtl w:val="0"/>
        </w:rPr>
        <w:t xml:space="preserve">National Center for Education Statistics. (2023). Common Core of Data: Local Education Agency Universe Survey (2022-2023). </w:t>
      </w:r>
      <w:hyperlink r:id="rId13">
        <w:r w:rsidDel="00000000" w:rsidR="00000000" w:rsidRPr="00000000">
          <w:rPr>
            <w:color w:val="1155cc"/>
            <w:sz w:val="24"/>
            <w:szCs w:val="24"/>
            <w:u w:val="single"/>
            <w:rtl w:val="0"/>
          </w:rPr>
          <w:t xml:space="preserve">https://nces.ed.gov/ccd/files.asp</w:t>
        </w:r>
      </w:hyperlink>
      <w:r w:rsidDel="00000000" w:rsidR="00000000" w:rsidRPr="00000000">
        <w:rPr>
          <w:rtl w:val="0"/>
        </w:rPr>
      </w:r>
    </w:p>
    <w:p w:rsidR="00000000" w:rsidDel="00000000" w:rsidP="00000000" w:rsidRDefault="00000000" w:rsidRPr="00000000" w14:paraId="000000BC">
      <w:pPr>
        <w:spacing w:line="360" w:lineRule="auto"/>
        <w:ind w:left="720" w:hanging="720"/>
        <w:rPr>
          <w:sz w:val="24"/>
          <w:szCs w:val="24"/>
        </w:rPr>
      </w:pPr>
      <w:r w:rsidDel="00000000" w:rsidR="00000000" w:rsidRPr="00000000">
        <w:rPr>
          <w:sz w:val="24"/>
          <w:szCs w:val="24"/>
          <w:rtl w:val="0"/>
        </w:rPr>
        <w:t xml:space="preserve">KDD 2025 Applied Data Science Track. </w:t>
      </w:r>
      <w:hyperlink r:id="rId14">
        <w:r w:rsidDel="00000000" w:rsidR="00000000" w:rsidRPr="00000000">
          <w:rPr>
            <w:color w:val="1155cc"/>
            <w:sz w:val="24"/>
            <w:szCs w:val="24"/>
            <w:u w:val="single"/>
            <w:rtl w:val="0"/>
          </w:rPr>
          <w:t xml:space="preserve">https://kdd2025.kdd.org/applied-data-science-ads-track-papers-2/</w:t>
        </w:r>
      </w:hyperlink>
      <w:r w:rsidDel="00000000" w:rsidR="00000000" w:rsidRPr="00000000">
        <w:rPr>
          <w:rtl w:val="0"/>
        </w:rPr>
      </w:r>
    </w:p>
    <w:p w:rsidR="00000000" w:rsidDel="00000000" w:rsidP="00000000" w:rsidRDefault="00000000" w:rsidRPr="00000000" w14:paraId="000000BD">
      <w:pPr>
        <w:spacing w:after="120" w:before="300" w:lineRule="auto"/>
        <w:rPr>
          <w:b w:val="1"/>
          <w:bCs w:val="1"/>
          <w:color w:val="1f3864"/>
          <w:sz w:val="28"/>
          <w:szCs w:val="28"/>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data.census.gov/table/ACSST5Y2023.S1501" TargetMode="External"/><Relationship Id="rId10" Type="http://schemas.openxmlformats.org/officeDocument/2006/relationships/hyperlink" Target="https://www.researchgate.net/publication/398645869" TargetMode="External"/><Relationship Id="rId13" Type="http://schemas.openxmlformats.org/officeDocument/2006/relationships/hyperlink" Target="https://nces.ed.gov/ccd/files.asp" TargetMode="External"/><Relationship Id="rId12" Type="http://schemas.openxmlformats.org/officeDocument/2006/relationships/hyperlink" Target="https://data.census.gov"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hyperlink" Target="https://kdd2025.kdd.org/applied-data-science-ads-track-papers-2/" TargetMode="External"/><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