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40"/>
        </w:rPr>
        <w:t>基于特色创新项目的岭南红橙病虫害智能监测与校本教研一体化平台</w:t>
      </w:r>
    </w:p>
    <w:p>
      <w:pPr>
        <w:jc w:val="center"/>
      </w:pPr>
      <w:r>
        <w:rPr>
          <w:rFonts w:ascii="微软雅黑" w:hAnsi="微软雅黑" w:eastAsia="微软雅黑"/>
          <w:sz w:val="30"/>
        </w:rPr>
        <w:t>项目使用手册</w:t>
      </w:r>
    </w:p>
    <w:p>
      <w:pPr>
        <w:jc w:val="center"/>
      </w:pPr>
      <w:r>
        <w:t>编制日期：2026年05月30日</w:t>
      </w:r>
    </w:p>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项目</w:t>
            </w:r>
          </w:p>
        </w:tc>
        <w:tc>
          <w:tcPr>
            <w:tcW w:type="dxa" w:w="4320"/>
            <w:shd w:fill="D9EAF7"/>
          </w:tcPr>
          <w:p>
            <w:r>
              <w:t>内容</w:t>
            </w:r>
          </w:p>
        </w:tc>
      </w:tr>
      <w:tr>
        <w:tc>
          <w:tcPr>
            <w:tcW w:type="dxa" w:w="4320"/>
            <w:vAlign w:val="center"/>
          </w:tcPr>
          <w:p>
            <w:r>
              <w:t>项目名称</w:t>
            </w:r>
          </w:p>
        </w:tc>
        <w:tc>
          <w:tcPr>
            <w:tcW w:type="dxa" w:w="4320"/>
            <w:vAlign w:val="center"/>
          </w:tcPr>
          <w:p>
            <w:r>
              <w:t>基于特色创新项目的岭南红橙病虫害智能监测与校本教研一体化平台</w:t>
            </w:r>
          </w:p>
        </w:tc>
      </w:tr>
      <w:tr>
        <w:tc>
          <w:tcPr>
            <w:tcW w:type="dxa" w:w="4320"/>
            <w:vAlign w:val="center"/>
          </w:tcPr>
          <w:p>
            <w:r>
              <w:t>文档名称</w:t>
            </w:r>
          </w:p>
        </w:tc>
        <w:tc>
          <w:tcPr>
            <w:tcW w:type="dxa" w:w="4320"/>
            <w:vAlign w:val="center"/>
          </w:tcPr>
          <w:p>
            <w:r>
              <w:t>项目使用手册</w:t>
            </w:r>
          </w:p>
        </w:tc>
      </w:tr>
      <w:tr>
        <w:tc>
          <w:tcPr>
            <w:tcW w:type="dxa" w:w="4320"/>
            <w:vAlign w:val="center"/>
          </w:tcPr>
          <w:p>
            <w:r>
              <w:t>文档类型</w:t>
            </w:r>
          </w:p>
        </w:tc>
        <w:tc>
          <w:tcPr>
            <w:tcW w:type="dxa" w:w="4320"/>
            <w:vAlign w:val="center"/>
          </w:tcPr>
          <w:p>
            <w:r>
              <w:t>用户操作与业务流程说明</w:t>
            </w:r>
          </w:p>
        </w:tc>
      </w:tr>
      <w:tr>
        <w:tc>
          <w:tcPr>
            <w:tcW w:type="dxa" w:w="4320"/>
            <w:vAlign w:val="center"/>
          </w:tcPr>
          <w:p>
            <w:r>
              <w:t>版本</w:t>
            </w:r>
          </w:p>
        </w:tc>
        <w:tc>
          <w:tcPr>
            <w:tcW w:type="dxa" w:w="4320"/>
            <w:vAlign w:val="center"/>
          </w:tcPr>
          <w:p>
            <w:r>
              <w:t>V1.0</w:t>
            </w:r>
          </w:p>
        </w:tc>
      </w:tr>
      <w:tr>
        <w:tc>
          <w:tcPr>
            <w:tcW w:type="dxa" w:w="4320"/>
            <w:vAlign w:val="center"/>
          </w:tcPr>
          <w:p>
            <w:r>
              <w:t>依据文件</w:t>
            </w:r>
          </w:p>
        </w:tc>
        <w:tc>
          <w:tcPr>
            <w:tcW w:type="dxa" w:w="4320"/>
            <w:vAlign w:val="center"/>
          </w:tcPr>
          <w:p>
            <w:r>
              <w:t>《技术规范文档》V3.0、《可行性研究报告》V3.0、README、当前代码结构</w:t>
            </w:r>
          </w:p>
        </w:tc>
      </w:tr>
      <w:tr>
        <w:tc>
          <w:tcPr>
            <w:tcW w:type="dxa" w:w="4320"/>
            <w:vAlign w:val="center"/>
          </w:tcPr>
          <w:p>
            <w:r>
              <w:t>适用对象</w:t>
            </w:r>
          </w:p>
        </w:tc>
        <w:tc>
          <w:tcPr>
            <w:tcW w:type="dxa" w:w="4320"/>
            <w:vAlign w:val="center"/>
          </w:tcPr>
          <w:p>
            <w:r>
              <w:t>项目实施人员、教师、农技人员、系统维护人员和验收人员</w:t>
            </w:r>
          </w:p>
        </w:tc>
      </w:tr>
    </w:tbl>
    <w:p/>
    <w:p>
      <w:pPr>
        <w:pStyle w:val="Heading1"/>
      </w:pPr>
      <w:r>
        <w:t>1. 系统简介</w:t>
      </w:r>
    </w:p>
    <w:p>
      <w:r>
        <w:t>本系统用于岭南红橙病虫害本地智能识别、绿色防治方案推送、检测台账管理、报表导出和校本教研内容生成。用户可通过图片、摄像头或视频文件完成检测，系统自动输出病虫害类别、置信度、严重程度、处方建议和教学材料。</w:t>
      </w:r>
    </w:p>
    <w:p>
      <w:pPr>
        <w:pStyle w:val="Heading1"/>
      </w:pPr>
      <w:r>
        <w:t>2. 主要功能</w:t>
      </w:r>
    </w:p>
    <w:p>
      <w:pPr>
        <w:pStyle w:val="ListBullet"/>
      </w:pPr>
      <w:r>
        <w:t>12 类岭南红橙高发病虫害识别。</w:t>
      </w:r>
    </w:p>
    <w:p>
      <w:pPr>
        <w:pStyle w:val="ListBullet"/>
      </w:pPr>
      <w:r>
        <w:t>红蜘蛛、蚜虫、木虱、黑刺粉虱等群聚虫害自动计数。</w:t>
      </w:r>
    </w:p>
    <w:p>
      <w:pPr>
        <w:pStyle w:val="ListBullet"/>
      </w:pPr>
      <w:r>
        <w:t>轻度/中度/重度严重程度自动分级。</w:t>
      </w:r>
    </w:p>
    <w:p>
      <w:pPr>
        <w:pStyle w:val="ListBullet"/>
      </w:pPr>
      <w:r>
        <w:t>按物候期联动三位一体绿色防治方案。</w:t>
      </w:r>
    </w:p>
    <w:p>
      <w:pPr>
        <w:pStyle w:val="ListBullet"/>
      </w:pPr>
      <w:r>
        <w:t>黄龙病等高危病害突出预警。</w:t>
      </w:r>
    </w:p>
    <w:p>
      <w:pPr>
        <w:pStyle w:val="ListBullet"/>
      </w:pPr>
      <w:r>
        <w:t>检测日志、农户/果园档案、Excel 和 PDF 导出。</w:t>
      </w:r>
    </w:p>
    <w:p>
      <w:pPr>
        <w:pStyle w:val="ListBullet"/>
      </w:pPr>
      <w:r>
        <w:t>数据采集、数据标注、模型训练和训练结果可视化。</w:t>
      </w:r>
    </w:p>
    <w:p>
      <w:pPr>
        <w:pStyle w:val="ListBullet"/>
      </w:pPr>
      <w:r>
        <w:t>教学案例和学生农技实训指导意见生成。</w:t>
      </w:r>
    </w:p>
    <w:p>
      <w:pPr>
        <w:pStyle w:val="Heading1"/>
      </w:pPr>
      <w:r>
        <w:t>3. 支持识别的病虫害</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t>病虫害</w:t>
            </w:r>
          </w:p>
        </w:tc>
        <w:tc>
          <w:tcPr>
            <w:tcW w:type="dxa" w:w="2880"/>
            <w:shd w:fill="D9EAF7"/>
          </w:tcPr>
          <w:p>
            <w:r>
              <w:t>危害等级</w:t>
            </w:r>
          </w:p>
        </w:tc>
        <w:tc>
          <w:tcPr>
            <w:tcW w:type="dxa" w:w="2880"/>
            <w:shd w:fill="D9EAF7"/>
          </w:tcPr>
          <w:p>
            <w:r>
              <w:t>主要识别特征/处理提示</w:t>
            </w:r>
          </w:p>
        </w:tc>
      </w:tr>
      <w:tr>
        <w:tc>
          <w:tcPr>
            <w:tcW w:type="dxa" w:w="2880"/>
            <w:vAlign w:val="center"/>
          </w:tcPr>
          <w:p>
            <w:r>
              <w:t>柑橘黄龙病</w:t>
            </w:r>
          </w:p>
        </w:tc>
        <w:tc>
          <w:tcPr>
            <w:tcW w:type="dxa" w:w="2880"/>
            <w:vAlign w:val="center"/>
          </w:tcPr>
          <w:p>
            <w:r>
              <w:t>极高</w:t>
            </w:r>
          </w:p>
        </w:tc>
        <w:tc>
          <w:tcPr>
            <w:tcW w:type="dxa" w:w="2880"/>
            <w:vAlign w:val="center"/>
          </w:tcPr>
          <w:p>
            <w:r>
              <w:t>斑驳黄化、青果、红鼻子果；确诊后砍除并就地烧毁</w:t>
            </w:r>
          </w:p>
        </w:tc>
      </w:tr>
      <w:tr>
        <w:tc>
          <w:tcPr>
            <w:tcW w:type="dxa" w:w="2880"/>
            <w:vAlign w:val="center"/>
          </w:tcPr>
          <w:p>
            <w:r>
              <w:t>柑橘溃疡病</w:t>
            </w:r>
          </w:p>
        </w:tc>
        <w:tc>
          <w:tcPr>
            <w:tcW w:type="dxa" w:w="2880"/>
            <w:vAlign w:val="center"/>
          </w:tcPr>
          <w:p>
            <w:r>
              <w:t>高</w:t>
            </w:r>
          </w:p>
        </w:tc>
        <w:tc>
          <w:tcPr>
            <w:tcW w:type="dxa" w:w="2880"/>
            <w:vAlign w:val="center"/>
          </w:tcPr>
          <w:p>
            <w:r>
              <w:t>隆起火山口状褐色木栓化病斑</w:t>
            </w:r>
          </w:p>
        </w:tc>
      </w:tr>
      <w:tr>
        <w:tc>
          <w:tcPr>
            <w:tcW w:type="dxa" w:w="2880"/>
            <w:vAlign w:val="center"/>
          </w:tcPr>
          <w:p>
            <w:r>
              <w:t>柑橘疮痂病</w:t>
            </w:r>
          </w:p>
        </w:tc>
        <w:tc>
          <w:tcPr>
            <w:tcW w:type="dxa" w:w="2880"/>
            <w:vAlign w:val="center"/>
          </w:tcPr>
          <w:p>
            <w:r>
              <w:t>中</w:t>
            </w:r>
          </w:p>
        </w:tc>
        <w:tc>
          <w:tcPr>
            <w:tcW w:type="dxa" w:w="2880"/>
            <w:vAlign w:val="center"/>
          </w:tcPr>
          <w:p>
            <w:r>
              <w:t>黄褐色漏斗状或尖锥状疮痂</w:t>
            </w:r>
          </w:p>
        </w:tc>
      </w:tr>
      <w:tr>
        <w:tc>
          <w:tcPr>
            <w:tcW w:type="dxa" w:w="2880"/>
            <w:vAlign w:val="center"/>
          </w:tcPr>
          <w:p>
            <w:r>
              <w:t>柑橘炭疽病</w:t>
            </w:r>
          </w:p>
        </w:tc>
        <w:tc>
          <w:tcPr>
            <w:tcW w:type="dxa" w:w="2880"/>
            <w:vAlign w:val="center"/>
          </w:tcPr>
          <w:p>
            <w:r>
              <w:t>高</w:t>
            </w:r>
          </w:p>
        </w:tc>
        <w:tc>
          <w:tcPr>
            <w:tcW w:type="dxa" w:w="2880"/>
            <w:vAlign w:val="center"/>
          </w:tcPr>
          <w:p>
            <w:r>
              <w:t>叶尖叶缘枯死斑、果实下陷褐色圆斑</w:t>
            </w:r>
          </w:p>
        </w:tc>
      </w:tr>
      <w:tr>
        <w:tc>
          <w:tcPr>
            <w:tcW w:type="dxa" w:w="2880"/>
            <w:vAlign w:val="center"/>
          </w:tcPr>
          <w:p>
            <w:r>
              <w:t>柑橘黑斑病</w:t>
            </w:r>
          </w:p>
        </w:tc>
        <w:tc>
          <w:tcPr>
            <w:tcW w:type="dxa" w:w="2880"/>
            <w:vAlign w:val="center"/>
          </w:tcPr>
          <w:p>
            <w:r>
              <w:t>中</w:t>
            </w:r>
          </w:p>
        </w:tc>
        <w:tc>
          <w:tcPr>
            <w:tcW w:type="dxa" w:w="2880"/>
            <w:vAlign w:val="center"/>
          </w:tcPr>
          <w:p>
            <w:r>
              <w:t>红褐色中央凹陷黑色边缘斑</w:t>
            </w:r>
          </w:p>
        </w:tc>
      </w:tr>
      <w:tr>
        <w:tc>
          <w:tcPr>
            <w:tcW w:type="dxa" w:w="2880"/>
            <w:vAlign w:val="center"/>
          </w:tcPr>
          <w:p>
            <w:r>
              <w:t>柑橘红蜘蛛</w:t>
            </w:r>
          </w:p>
        </w:tc>
        <w:tc>
          <w:tcPr>
            <w:tcW w:type="dxa" w:w="2880"/>
            <w:vAlign w:val="center"/>
          </w:tcPr>
          <w:p>
            <w:r>
              <w:t>高</w:t>
            </w:r>
          </w:p>
        </w:tc>
        <w:tc>
          <w:tcPr>
            <w:tcW w:type="dxa" w:w="2880"/>
            <w:vAlign w:val="center"/>
          </w:tcPr>
          <w:p>
            <w:r>
              <w:t>叶背或果面密集红色微型虫体</w:t>
            </w:r>
          </w:p>
        </w:tc>
      </w:tr>
      <w:tr>
        <w:tc>
          <w:tcPr>
            <w:tcW w:type="dxa" w:w="2880"/>
            <w:vAlign w:val="center"/>
          </w:tcPr>
          <w:p>
            <w:r>
              <w:t>柑橘木虱</w:t>
            </w:r>
          </w:p>
        </w:tc>
        <w:tc>
          <w:tcPr>
            <w:tcW w:type="dxa" w:w="2880"/>
            <w:vAlign w:val="center"/>
          </w:tcPr>
          <w:p>
            <w:r>
              <w:t>极高</w:t>
            </w:r>
          </w:p>
        </w:tc>
        <w:tc>
          <w:tcPr>
            <w:tcW w:type="dxa" w:w="2880"/>
            <w:vAlign w:val="center"/>
          </w:tcPr>
          <w:p>
            <w:r>
              <w:t>成虫尾翘、若虫群落，是黄龙病传播媒介</w:t>
            </w:r>
          </w:p>
        </w:tc>
      </w:tr>
      <w:tr>
        <w:tc>
          <w:tcPr>
            <w:tcW w:type="dxa" w:w="2880"/>
            <w:vAlign w:val="center"/>
          </w:tcPr>
          <w:p>
            <w:r>
              <w:t>柑橘潜叶蛾</w:t>
            </w:r>
          </w:p>
        </w:tc>
        <w:tc>
          <w:tcPr>
            <w:tcW w:type="dxa" w:w="2880"/>
            <w:vAlign w:val="center"/>
          </w:tcPr>
          <w:p>
            <w:r>
              <w:t>中</w:t>
            </w:r>
          </w:p>
        </w:tc>
        <w:tc>
          <w:tcPr>
            <w:tcW w:type="dxa" w:w="2880"/>
            <w:vAlign w:val="center"/>
          </w:tcPr>
          <w:p>
            <w:r>
              <w:t>嫩叶银白色蜿蜒隧道和卷叶</w:t>
            </w:r>
          </w:p>
        </w:tc>
      </w:tr>
      <w:tr>
        <w:tc>
          <w:tcPr>
            <w:tcW w:type="dxa" w:w="2880"/>
            <w:vAlign w:val="center"/>
          </w:tcPr>
          <w:p>
            <w:r>
              <w:t>柑橘蚜虫</w:t>
            </w:r>
          </w:p>
        </w:tc>
        <w:tc>
          <w:tcPr>
            <w:tcW w:type="dxa" w:w="2880"/>
            <w:vAlign w:val="center"/>
          </w:tcPr>
          <w:p>
            <w:r>
              <w:t>中</w:t>
            </w:r>
          </w:p>
        </w:tc>
        <w:tc>
          <w:tcPr>
            <w:tcW w:type="dxa" w:w="2880"/>
            <w:vAlign w:val="center"/>
          </w:tcPr>
          <w:p>
            <w:r>
              <w:t>嫩梢叶背绿色或黑色虫体聚集</w:t>
            </w:r>
          </w:p>
        </w:tc>
      </w:tr>
      <w:tr>
        <w:tc>
          <w:tcPr>
            <w:tcW w:type="dxa" w:w="2880"/>
            <w:vAlign w:val="center"/>
          </w:tcPr>
          <w:p>
            <w:r>
              <w:t>柑橘介壳虫</w:t>
            </w:r>
          </w:p>
        </w:tc>
        <w:tc>
          <w:tcPr>
            <w:tcW w:type="dxa" w:w="2880"/>
            <w:vAlign w:val="center"/>
          </w:tcPr>
          <w:p>
            <w:r>
              <w:t>中</w:t>
            </w:r>
          </w:p>
        </w:tc>
        <w:tc>
          <w:tcPr>
            <w:tcW w:type="dxa" w:w="2880"/>
            <w:vAlign w:val="center"/>
          </w:tcPr>
          <w:p>
            <w:r>
              <w:t>盾形或棉絮状固着虫体</w:t>
            </w:r>
          </w:p>
        </w:tc>
      </w:tr>
      <w:tr>
        <w:tc>
          <w:tcPr>
            <w:tcW w:type="dxa" w:w="2880"/>
            <w:vAlign w:val="center"/>
          </w:tcPr>
          <w:p>
            <w:r>
              <w:t>柑橘花蕾蛆</w:t>
            </w:r>
          </w:p>
        </w:tc>
        <w:tc>
          <w:tcPr>
            <w:tcW w:type="dxa" w:w="2880"/>
            <w:vAlign w:val="center"/>
          </w:tcPr>
          <w:p>
            <w:r>
              <w:t>中</w:t>
            </w:r>
          </w:p>
        </w:tc>
        <w:tc>
          <w:tcPr>
            <w:tcW w:type="dxa" w:w="2880"/>
            <w:vAlign w:val="center"/>
          </w:tcPr>
          <w:p>
            <w:r>
              <w:t>灯笼状膨大花蕾及内部幼虫</w:t>
            </w:r>
          </w:p>
        </w:tc>
      </w:tr>
      <w:tr>
        <w:tc>
          <w:tcPr>
            <w:tcW w:type="dxa" w:w="2880"/>
            <w:vAlign w:val="center"/>
          </w:tcPr>
          <w:p>
            <w:r>
              <w:t>柑橘黑刺粉虱</w:t>
            </w:r>
          </w:p>
        </w:tc>
        <w:tc>
          <w:tcPr>
            <w:tcW w:type="dxa" w:w="2880"/>
            <w:vAlign w:val="center"/>
          </w:tcPr>
          <w:p>
            <w:r>
              <w:t>中</w:t>
            </w:r>
          </w:p>
        </w:tc>
        <w:tc>
          <w:tcPr>
            <w:tcW w:type="dxa" w:w="2880"/>
            <w:vAlign w:val="center"/>
          </w:tcPr>
          <w:p>
            <w:r>
              <w:t>叶背黑色若虫、白色蜡圈、煤烟病污染</w:t>
            </w:r>
          </w:p>
        </w:tc>
      </w:tr>
    </w:tbl>
    <w:p/>
    <w:p>
      <w:pPr>
        <w:pStyle w:val="Heading1"/>
      </w:pPr>
      <w:r>
        <w:t>4. 快速上手流程</w:t>
      </w:r>
    </w:p>
    <w:p>
      <w:pPr>
        <w:pStyle w:val="ListNumber"/>
      </w:pPr>
      <w:r>
        <w:t>启动程序。</w:t>
      </w:r>
    </w:p>
    <w:p>
      <w:pPr>
        <w:pStyle w:val="ListNumber"/>
      </w:pPr>
      <w:r>
        <w:t>在“农户档案”页录入农户、果园区块和联系方式，也可先跳过。</w:t>
      </w:r>
    </w:p>
    <w:p>
      <w:pPr>
        <w:pStyle w:val="ListNumber"/>
      </w:pPr>
      <w:r>
        <w:t>在“智能检测”页选择当前物候期。</w:t>
      </w:r>
    </w:p>
    <w:p>
      <w:pPr>
        <w:pStyle w:val="ListNumber"/>
      </w:pPr>
      <w:r>
        <w:t>导入红橙叶片、枝条、果面或花蕾图片。</w:t>
      </w:r>
    </w:p>
    <w:p>
      <w:pPr>
        <w:pStyle w:val="ListNumber"/>
      </w:pPr>
      <w:r>
        <w:t>点击“开始检测”。</w:t>
      </w:r>
    </w:p>
    <w:p>
      <w:pPr>
        <w:pStyle w:val="ListNumber"/>
      </w:pPr>
      <w:r>
        <w:t>查看右侧检测框、主病害、严重程度和绿色防治方案。</w:t>
      </w:r>
    </w:p>
    <w:p>
      <w:pPr>
        <w:pStyle w:val="ListNumber"/>
      </w:pPr>
      <w:r>
        <w:t>需要留痕时保存台账，并在“历史台账”中导出 Excel 或 PDF。</w:t>
      </w:r>
    </w:p>
    <w:p>
      <w:pPr>
        <w:pStyle w:val="ListNumber"/>
      </w:pPr>
      <w:r>
        <w:t>需要教学材料时进入“教学生成”页，生成并审核教学案例或实训指导意见。</w:t>
      </w:r>
    </w:p>
    <w:p>
      <w:pPr>
        <w:pStyle w:val="Heading1"/>
      </w:pPr>
      <w:r>
        <w:t>5. 智能检测页面</w:t>
      </w:r>
    </w:p>
    <w:p>
      <w:pPr>
        <w:pStyle w:val="ListBullet"/>
      </w:pPr>
      <w:r>
        <w:t>选择物候期：春梢/萌芽、开花/谢花、生理落果/幼果、果实膨大/挂果、采收/冬剪。</w:t>
      </w:r>
    </w:p>
    <w:p>
      <w:pPr>
        <w:pStyle w:val="ListBullet"/>
      </w:pPr>
      <w:r>
        <w:t>导入图片：支持 JPG、JPEG、PNG、BMP，兼容中文路径。</w:t>
      </w:r>
    </w:p>
    <w:p>
      <w:pPr>
        <w:pStyle w:val="ListBullet"/>
      </w:pPr>
      <w:r>
        <w:t>调整阈值：conf 影响最低置信度，IoU 影响框合并；一般保持默认即可。</w:t>
      </w:r>
    </w:p>
    <w:p>
      <w:pPr>
        <w:pStyle w:val="ListBullet"/>
      </w:pPr>
      <w:r>
        <w:t>查看结果：系统显示检测框、中文标签、置信度、主病害、严重程度和处方。</w:t>
      </w:r>
    </w:p>
    <w:p>
      <w:pPr>
        <w:pStyle w:val="ListBullet"/>
      </w:pPr>
      <w:r>
        <w:t>台账保存：开启自动写台账后，检测结果会进入 runtime_data/detection_log.db。</w:t>
      </w:r>
    </w:p>
    <w:p>
      <w:pPr>
        <w:pStyle w:val="Heading1"/>
      </w:pPr>
      <w:r>
        <w:t>6. 摄像头与视频检测</w:t>
      </w:r>
    </w:p>
    <w:p>
      <w:pPr>
        <w:pStyle w:val="ListBullet"/>
      </w:pPr>
      <w:r>
        <w:t>连接 UVC USB 摄像头、数字显微镜或高拍仪。</w:t>
      </w:r>
    </w:p>
    <w:p>
      <w:pPr>
        <w:pStyle w:val="ListBullet"/>
      </w:pPr>
      <w:r>
        <w:t>在摄像头页面选择设备并启动预览。</w:t>
      </w:r>
    </w:p>
    <w:p>
      <w:pPr>
        <w:pStyle w:val="ListBullet"/>
      </w:pPr>
      <w:r>
        <w:t>将病叶、果面或叶背虫害置于镜头下，保持光照稳定。</w:t>
      </w:r>
    </w:p>
    <w:p>
      <w:pPr>
        <w:pStyle w:val="ListBullet"/>
      </w:pPr>
      <w:r>
        <w:t>系统实时显示检测结果，可用于课堂演示和田间快速筛查。</w:t>
      </w:r>
    </w:p>
    <w:p>
      <w:pPr>
        <w:pStyle w:val="ListBullet"/>
      </w:pPr>
      <w:r>
        <w:t>导入视频文件后，可逐帧检测并导出带框视频。</w:t>
      </w:r>
    </w:p>
    <w:p>
      <w:pPr>
        <w:pStyle w:val="Heading1"/>
      </w:pPr>
      <w:r>
        <w:t>7. 历史台账与报表导出</w:t>
      </w:r>
    </w:p>
    <w:p>
      <w:pPr>
        <w:pStyle w:val="ListBullet"/>
      </w:pPr>
      <w:r>
        <w:t>历史台账可按时间、农户、果园、病虫害类别筛选。</w:t>
      </w:r>
    </w:p>
    <w:p>
      <w:pPr>
        <w:pStyle w:val="ListBullet"/>
      </w:pPr>
      <w:r>
        <w:t>Excel 报表适合日常统计和提交检查。</w:t>
      </w:r>
    </w:p>
    <w:p>
      <w:pPr>
        <w:pStyle w:val="ListBullet"/>
      </w:pPr>
      <w:r>
        <w:t>PDF 分析报告适合形成阶段总结，包含统计、TOP 病害和防治建议。</w:t>
      </w:r>
    </w:p>
    <w:p>
      <w:pPr>
        <w:pStyle w:val="ListBullet"/>
      </w:pPr>
      <w:r>
        <w:t>导出路径默认位于 runtime_data/exports，可在设置中修改。</w:t>
      </w:r>
    </w:p>
    <w:p>
      <w:pPr>
        <w:pStyle w:val="Heading1"/>
      </w:pPr>
      <w:r>
        <w:t>8. 农户与果园档案</w:t>
      </w:r>
    </w:p>
    <w:p>
      <w:pPr>
        <w:pStyle w:val="ListBullet"/>
      </w:pPr>
      <w:r>
        <w:t>支持新增、编辑、删除农户和果园区块信息。</w:t>
      </w:r>
    </w:p>
    <w:p>
      <w:pPr>
        <w:pStyle w:val="ListBullet"/>
      </w:pPr>
      <w:r>
        <w:t>检测时可选择农户档案，便于后续筛选和追溯。</w:t>
      </w:r>
    </w:p>
    <w:p>
      <w:pPr>
        <w:pStyle w:val="ListBullet"/>
      </w:pPr>
      <w:r>
        <w:t>支持使用 CSV 模板导入基础档案。</w:t>
      </w:r>
    </w:p>
    <w:p>
      <w:pPr>
        <w:pStyle w:val="ListBullet"/>
      </w:pPr>
      <w:r>
        <w:t>档案数据仅保存在本地。</w:t>
      </w:r>
    </w:p>
    <w:p>
      <w:pPr>
        <w:pStyle w:val="Heading1"/>
      </w:pPr>
      <w:r>
        <w:t>9. 数据采集、标注与训练</w:t>
      </w:r>
    </w:p>
    <w:p>
      <w:pPr>
        <w:pStyle w:val="ListBullet"/>
      </w:pPr>
      <w:r>
        <w:t>数据采集页用于按搜索关键词采集原始样本，样本进入未分类目录。</w:t>
      </w:r>
    </w:p>
    <w:p>
      <w:pPr>
        <w:pStyle w:val="ListBullet"/>
      </w:pPr>
      <w:r>
        <w:t>数据标注阶段再绑定 12 类病虫害类别，生成 YOLO 标签。</w:t>
      </w:r>
    </w:p>
    <w:p>
      <w:pPr>
        <w:pStyle w:val="ListBullet"/>
      </w:pPr>
      <w:r>
        <w:t>训练页支持选择数据集、模型结构和训练参数，一键启动 YOLOv8 训练。</w:t>
      </w:r>
    </w:p>
    <w:p>
      <w:pPr>
        <w:pStyle w:val="ListBullet"/>
      </w:pPr>
      <w:r>
        <w:t>训练结束后系统可发布 best.pt 到 models/ 目录。</w:t>
      </w:r>
    </w:p>
    <w:p>
      <w:pPr>
        <w:pStyle w:val="ListBullet"/>
      </w:pPr>
      <w:r>
        <w:t>训练结果页自动解析 results.csv、results.png、混淆矩阵和预测示例图。</w:t>
      </w:r>
    </w:p>
    <w:p>
      <w:pPr>
        <w:pStyle w:val="Heading1"/>
      </w:pPr>
      <w:r>
        <w:t>10. 教学教研生成</w:t>
      </w:r>
    </w:p>
    <w:p>
      <w:r>
        <w:t>教学生成页基于最近一次检测结果和绿色防治知识库，生成面向课堂和实训的教学材料。</w:t>
      </w:r>
    </w:p>
    <w:p>
      <w:pPr>
        <w:pStyle w:val="ListNumber"/>
      </w:pPr>
      <w:r>
        <w:t>先在智能检测页完成一次有效检测。</w:t>
      </w:r>
    </w:p>
    <w:p>
      <w:pPr>
        <w:pStyle w:val="ListNumber"/>
      </w:pPr>
      <w:r>
        <w:t>进入“教学生成”页，确认检测素材摘要。</w:t>
      </w:r>
    </w:p>
    <w:p>
      <w:pPr>
        <w:pStyle w:val="ListNumber"/>
      </w:pPr>
      <w:r>
        <w:t>选择文档类型：“岭南红橙实时防害教学案例”或“学生农技实训指导意见”。</w:t>
      </w:r>
    </w:p>
    <w:p>
      <w:pPr>
        <w:pStyle w:val="ListNumber"/>
      </w:pPr>
      <w:r>
        <w:t>点击生成草稿。默认使用本地模板；若设置页已配置大模型，则可使用 LLM 智能生成。</w:t>
      </w:r>
    </w:p>
    <w:p>
      <w:pPr>
        <w:pStyle w:val="ListNumber"/>
      </w:pPr>
      <w:r>
        <w:t>教师检查并修改草稿。</w:t>
      </w:r>
    </w:p>
    <w:p>
      <w:pPr>
        <w:pStyle w:val="ListNumber"/>
      </w:pPr>
      <w:r>
        <w:t>勾选“我已审核，可导出”。</w:t>
      </w:r>
    </w:p>
    <w:p>
      <w:pPr>
        <w:pStyle w:val="ListNumber"/>
      </w:pPr>
      <w:r>
        <w:t>导出 Markdown 或 PDF，用于课堂讲解、实训任务单或教研归档。</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t>生成方式</w:t>
            </w:r>
          </w:p>
        </w:tc>
        <w:tc>
          <w:tcPr>
            <w:tcW w:type="dxa" w:w="2880"/>
            <w:shd w:fill="D9EAF7"/>
          </w:tcPr>
          <w:p>
            <w:r>
              <w:t>适用场景</w:t>
            </w:r>
          </w:p>
        </w:tc>
        <w:tc>
          <w:tcPr>
            <w:tcW w:type="dxa" w:w="2880"/>
            <w:shd w:fill="D9EAF7"/>
          </w:tcPr>
          <w:p>
            <w:r>
              <w:t>特点</w:t>
            </w:r>
          </w:p>
        </w:tc>
      </w:tr>
      <w:tr>
        <w:tc>
          <w:tcPr>
            <w:tcW w:type="dxa" w:w="2880"/>
            <w:vAlign w:val="center"/>
          </w:tcPr>
          <w:p>
            <w:r>
              <w:t>模板生成</w:t>
            </w:r>
          </w:p>
        </w:tc>
        <w:tc>
          <w:tcPr>
            <w:tcW w:type="dxa" w:w="2880"/>
            <w:vAlign w:val="center"/>
          </w:tcPr>
          <w:p>
            <w:r>
              <w:t>断网、本地教学、稳定交付</w:t>
            </w:r>
          </w:p>
        </w:tc>
        <w:tc>
          <w:tcPr>
            <w:tcW w:type="dxa" w:w="2880"/>
            <w:vAlign w:val="center"/>
          </w:tcPr>
          <w:p>
            <w:r>
              <w:t>无需网络，结构固定，内容来自检测结果和知识库</w:t>
            </w:r>
          </w:p>
        </w:tc>
      </w:tr>
      <w:tr>
        <w:tc>
          <w:tcPr>
            <w:tcW w:type="dxa" w:w="2880"/>
            <w:vAlign w:val="center"/>
          </w:tcPr>
          <w:p>
            <w:r>
              <w:t>本地大模型</w:t>
            </w:r>
          </w:p>
        </w:tc>
        <w:tc>
          <w:tcPr>
            <w:tcW w:type="dxa" w:w="2880"/>
            <w:vAlign w:val="center"/>
          </w:tcPr>
          <w:p>
            <w:r>
              <w:t>校内私有化部署</w:t>
            </w:r>
          </w:p>
        </w:tc>
        <w:tc>
          <w:tcPr>
            <w:tcW w:type="dxa" w:w="2880"/>
            <w:vAlign w:val="center"/>
          </w:tcPr>
          <w:p>
            <w:r>
              <w:t>数据不出本机或局域网，表达更丰富</w:t>
            </w:r>
          </w:p>
        </w:tc>
      </w:tr>
      <w:tr>
        <w:tc>
          <w:tcPr>
            <w:tcW w:type="dxa" w:w="2880"/>
            <w:vAlign w:val="center"/>
          </w:tcPr>
          <w:p>
            <w:r>
              <w:t>云端 API</w:t>
            </w:r>
          </w:p>
        </w:tc>
        <w:tc>
          <w:tcPr>
            <w:tcW w:type="dxa" w:w="2880"/>
            <w:vAlign w:val="center"/>
          </w:tcPr>
          <w:p>
            <w:r>
              <w:t>有网络且已配置 DeepSeek/豆包等服务</w:t>
            </w:r>
          </w:p>
        </w:tc>
        <w:tc>
          <w:tcPr>
            <w:tcW w:type="dxa" w:w="2880"/>
            <w:vAlign w:val="center"/>
          </w:tcPr>
          <w:p>
            <w:r>
              <w:t>生成能力强，但会产生网络依赖和合规要求</w:t>
            </w:r>
          </w:p>
        </w:tc>
      </w:tr>
    </w:tbl>
    <w:p/>
    <w:p>
      <w:pPr>
        <w:pStyle w:val="Heading1"/>
      </w:pPr>
      <w:r>
        <w:t>11. 设置说明</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设置项</w:t>
            </w:r>
          </w:p>
        </w:tc>
        <w:tc>
          <w:tcPr>
            <w:tcW w:type="dxa" w:w="4320"/>
            <w:shd w:fill="D9EAF7"/>
          </w:tcPr>
          <w:p>
            <w:r>
              <w:t>说明</w:t>
            </w:r>
          </w:p>
        </w:tc>
      </w:tr>
      <w:tr>
        <w:tc>
          <w:tcPr>
            <w:tcW w:type="dxa" w:w="4320"/>
            <w:vAlign w:val="center"/>
          </w:tcPr>
          <w:p>
            <w:r>
              <w:t>字体倍率</w:t>
            </w:r>
          </w:p>
        </w:tc>
        <w:tc>
          <w:tcPr>
            <w:tcW w:type="dxa" w:w="4320"/>
            <w:vAlign w:val="center"/>
          </w:tcPr>
          <w:p>
            <w:r>
              <w:t>调整界面字号，适合适老化展示</w:t>
            </w:r>
          </w:p>
        </w:tc>
      </w:tr>
      <w:tr>
        <w:tc>
          <w:tcPr>
            <w:tcW w:type="dxa" w:w="4320"/>
            <w:vAlign w:val="center"/>
          </w:tcPr>
          <w:p>
            <w:r>
              <w:t>默认 conf / IoU</w:t>
            </w:r>
          </w:p>
        </w:tc>
        <w:tc>
          <w:tcPr>
            <w:tcW w:type="dxa" w:w="4320"/>
            <w:vAlign w:val="center"/>
          </w:tcPr>
          <w:p>
            <w:r>
              <w:t>设置检测默认阈值</w:t>
            </w:r>
          </w:p>
        </w:tc>
      </w:tr>
      <w:tr>
        <w:tc>
          <w:tcPr>
            <w:tcW w:type="dxa" w:w="4320"/>
            <w:vAlign w:val="center"/>
          </w:tcPr>
          <w:p>
            <w:r>
              <w:t>默认物候期</w:t>
            </w:r>
          </w:p>
        </w:tc>
        <w:tc>
          <w:tcPr>
            <w:tcW w:type="dxa" w:w="4320"/>
            <w:vAlign w:val="center"/>
          </w:tcPr>
          <w:p>
            <w:r>
              <w:t>启动时自动选择常用物候期</w:t>
            </w:r>
          </w:p>
        </w:tc>
      </w:tr>
      <w:tr>
        <w:tc>
          <w:tcPr>
            <w:tcW w:type="dxa" w:w="4320"/>
            <w:vAlign w:val="center"/>
          </w:tcPr>
          <w:p>
            <w:r>
              <w:t>默认保存目录</w:t>
            </w:r>
          </w:p>
        </w:tc>
        <w:tc>
          <w:tcPr>
            <w:tcW w:type="dxa" w:w="4320"/>
            <w:vAlign w:val="center"/>
          </w:tcPr>
          <w:p>
            <w:r>
              <w:t>设置 Excel、PDF、教学文档等导出位置</w:t>
            </w:r>
          </w:p>
        </w:tc>
      </w:tr>
      <w:tr>
        <w:tc>
          <w:tcPr>
            <w:tcW w:type="dxa" w:w="4320"/>
            <w:vAlign w:val="center"/>
          </w:tcPr>
          <w:p>
            <w:r>
              <w:t>自动写台账</w:t>
            </w:r>
          </w:p>
        </w:tc>
        <w:tc>
          <w:tcPr>
            <w:tcW w:type="dxa" w:w="4320"/>
            <w:vAlign w:val="center"/>
          </w:tcPr>
          <w:p>
            <w:r>
              <w:t>开启后检测结果自动保存到本地数据库</w:t>
            </w:r>
          </w:p>
        </w:tc>
      </w:tr>
      <w:tr>
        <w:tc>
          <w:tcPr>
            <w:tcW w:type="dxa" w:w="4320"/>
            <w:vAlign w:val="center"/>
          </w:tcPr>
          <w:p>
            <w:r>
              <w:t>提示音</w:t>
            </w:r>
          </w:p>
        </w:tc>
        <w:tc>
          <w:tcPr>
            <w:tcW w:type="dxa" w:w="4320"/>
            <w:vAlign w:val="center"/>
          </w:tcPr>
          <w:p>
            <w:r>
              <w:t>重度病害或高危病害时提示</w:t>
            </w:r>
          </w:p>
        </w:tc>
      </w:tr>
      <w:tr>
        <w:tc>
          <w:tcPr>
            <w:tcW w:type="dxa" w:w="4320"/>
            <w:vAlign w:val="center"/>
          </w:tcPr>
          <w:p>
            <w:r>
              <w:t>LLM 开关</w:t>
            </w:r>
          </w:p>
        </w:tc>
        <w:tc>
          <w:tcPr>
            <w:tcW w:type="dxa" w:w="4320"/>
            <w:vAlign w:val="center"/>
          </w:tcPr>
          <w:p>
            <w:r>
              <w:t>启用或关闭大模型智能生成</w:t>
            </w:r>
          </w:p>
        </w:tc>
      </w:tr>
      <w:tr>
        <w:tc>
          <w:tcPr>
            <w:tcW w:type="dxa" w:w="4320"/>
            <w:vAlign w:val="center"/>
          </w:tcPr>
          <w:p>
            <w:r>
              <w:t>LLM base_url / model / api_key</w:t>
            </w:r>
          </w:p>
        </w:tc>
        <w:tc>
          <w:tcPr>
            <w:tcW w:type="dxa" w:w="4320"/>
            <w:vAlign w:val="center"/>
          </w:tcPr>
          <w:p>
            <w:r>
              <w:t>配置 OpenAI 兼容本地或云端大模型服务</w:t>
            </w:r>
          </w:p>
        </w:tc>
      </w:tr>
    </w:tbl>
    <w:p/>
    <w:p>
      <w:pPr>
        <w:pStyle w:val="Heading1"/>
      </w:pPr>
      <w:r>
        <w:t>12. 绿色防治注意事项</w:t>
      </w:r>
    </w:p>
    <w:p>
      <w:pPr>
        <w:pStyle w:val="ListBullet"/>
      </w:pPr>
      <w:r>
        <w:t>优先采用农业防治、物理诱控、生物防治和生态调控措施。</w:t>
      </w:r>
    </w:p>
    <w:p>
      <w:pPr>
        <w:pStyle w:val="ListBullet"/>
      </w:pPr>
      <w:r>
        <w:t>化学药剂必须关注安全间隔期 PHI，不得采前违规施药。</w:t>
      </w:r>
    </w:p>
    <w:p>
      <w:pPr>
        <w:pStyle w:val="ListBullet"/>
      </w:pPr>
      <w:r>
        <w:t>黄龙病确诊植株必须立即砍除并就地烧毁，禁止化学治疗。</w:t>
      </w:r>
    </w:p>
    <w:p>
      <w:pPr>
        <w:pStyle w:val="ListBullet"/>
      </w:pPr>
      <w:r>
        <w:t>本系统输出用于辅助判断和教学演示，最终处理应结合现场农技人员意见。</w:t>
      </w:r>
    </w:p>
    <w:p>
      <w:pPr>
        <w:pStyle w:val="Heading1"/>
      </w:pPr>
      <w:r>
        <w:t>13. 常见问题</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问题</w:t>
            </w:r>
          </w:p>
        </w:tc>
        <w:tc>
          <w:tcPr>
            <w:tcW w:type="dxa" w:w="4320"/>
            <w:shd w:fill="D9EAF7"/>
          </w:tcPr>
          <w:p>
            <w:r>
              <w:t>解决方法</w:t>
            </w:r>
          </w:p>
        </w:tc>
      </w:tr>
      <w:tr>
        <w:tc>
          <w:tcPr>
            <w:tcW w:type="dxa" w:w="4320"/>
            <w:vAlign w:val="center"/>
          </w:tcPr>
          <w:p>
            <w:r>
              <w:t>导入图片后没有检测框</w:t>
            </w:r>
          </w:p>
        </w:tc>
        <w:tc>
          <w:tcPr>
            <w:tcW w:type="dxa" w:w="4320"/>
            <w:vAlign w:val="center"/>
          </w:tcPr>
          <w:p>
            <w:r>
              <w:t>检查模型是否加载、阈值是否过高、图片是否清晰。</w:t>
            </w:r>
          </w:p>
        </w:tc>
      </w:tr>
      <w:tr>
        <w:tc>
          <w:tcPr>
            <w:tcW w:type="dxa" w:w="4320"/>
            <w:vAlign w:val="center"/>
          </w:tcPr>
          <w:p>
            <w:r>
              <w:t>检测结果不准确</w:t>
            </w:r>
          </w:p>
        </w:tc>
        <w:tc>
          <w:tcPr>
            <w:tcW w:type="dxa" w:w="4320"/>
            <w:vAlign w:val="center"/>
          </w:tcPr>
          <w:p>
            <w:r>
              <w:t>换用更清晰的近景图；补充数据并重新训练专属模型。</w:t>
            </w:r>
          </w:p>
        </w:tc>
      </w:tr>
      <w:tr>
        <w:tc>
          <w:tcPr>
            <w:tcW w:type="dxa" w:w="4320"/>
            <w:vAlign w:val="center"/>
          </w:tcPr>
          <w:p>
            <w:r>
              <w:t>无法保存台账</w:t>
            </w:r>
          </w:p>
        </w:tc>
        <w:tc>
          <w:tcPr>
            <w:tcW w:type="dxa" w:w="4320"/>
            <w:vAlign w:val="center"/>
          </w:tcPr>
          <w:p>
            <w:r>
              <w:t>确认 runtime_data/ 目录有写入权限。</w:t>
            </w:r>
          </w:p>
        </w:tc>
      </w:tr>
      <w:tr>
        <w:tc>
          <w:tcPr>
            <w:tcW w:type="dxa" w:w="4320"/>
            <w:vAlign w:val="center"/>
          </w:tcPr>
          <w:p>
            <w:r>
              <w:t>教学生成提示无素材</w:t>
            </w:r>
          </w:p>
        </w:tc>
        <w:tc>
          <w:tcPr>
            <w:tcW w:type="dxa" w:w="4320"/>
            <w:vAlign w:val="center"/>
          </w:tcPr>
          <w:p>
            <w:r>
              <w:t>先在智能检测页完成一次检测。</w:t>
            </w:r>
          </w:p>
        </w:tc>
      </w:tr>
      <w:tr>
        <w:tc>
          <w:tcPr>
            <w:tcW w:type="dxa" w:w="4320"/>
            <w:vAlign w:val="center"/>
          </w:tcPr>
          <w:p>
            <w:r>
              <w:t>LLM 生成失败</w:t>
            </w:r>
          </w:p>
        </w:tc>
        <w:tc>
          <w:tcPr>
            <w:tcW w:type="dxa" w:w="4320"/>
            <w:vAlign w:val="center"/>
          </w:tcPr>
          <w:p>
            <w:r>
              <w:t>检查设置页中的 base_url、model、api_key 和网络；系统可自动降级为模板生成。</w:t>
            </w:r>
          </w:p>
        </w:tc>
      </w:tr>
      <w:tr>
        <w:tc>
          <w:tcPr>
            <w:tcW w:type="dxa" w:w="4320"/>
            <w:vAlign w:val="center"/>
          </w:tcPr>
          <w:p>
            <w:r>
              <w:t>PDF/Excel 找不到</w:t>
            </w:r>
          </w:p>
        </w:tc>
        <w:tc>
          <w:tcPr>
            <w:tcW w:type="dxa" w:w="4320"/>
            <w:vAlign w:val="center"/>
          </w:tcPr>
          <w:p>
            <w:r>
              <w:t>检查默认保存目录或 runtime_data/exports。</w:t>
            </w:r>
          </w:p>
        </w:tc>
      </w:tr>
    </w:tbl>
    <w:p/>
    <w:sectPr w:rsidR="00FC693F" w:rsidRPr="0006063C" w:rsidSect="00034616">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