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F98F80">
      <w:pPr>
        <w:pStyle w:val="31"/>
        <w:jc w:val="center"/>
        <w:rPr>
          <w:rFonts w:hint="eastAsia" w:ascii="楷体" w:hAnsi="楷体" w:eastAsia="楷体" w:cs="楷体"/>
          <w:b/>
          <w:bCs/>
          <w:sz w:val="60"/>
          <w:szCs w:val="60"/>
        </w:rPr>
      </w:pPr>
      <w:r>
        <w:rPr>
          <w:rFonts w:hint="eastAsia" w:ascii="楷体" w:hAnsi="楷体" w:eastAsia="楷体" w:cs="楷体"/>
          <w:b/>
          <w:bCs/>
          <w:sz w:val="60"/>
          <w:szCs w:val="60"/>
        </w:rPr>
        <w:t>原创性、真实性与引用说明</w:t>
      </w:r>
    </w:p>
    <w:p w14:paraId="6A27E205">
      <w:r>
        <w:t>本说明用于明确《基于特色创新项目的岭南红橙病虫害智能监测与校本教研一体化平台》项目中原创内容、第三方开源组件、公开技术资料和外部数据素材的来源边界。案例作者应对案例的原创性、真实性负责；非原创部分已在本说明中列明出处。若因未获授权素材、第三方组件许可或外部资料使用引发知识产权异议和纠纷，其责任由案例作者及相关使用方按实际使用情况承担。</w:t>
      </w:r>
    </w:p>
    <w:p w14:paraId="0088F277">
      <w:pPr>
        <w:pStyle w:val="3"/>
        <w:rPr>
          <w:rFonts w:hint="eastAsia" w:ascii="楷体" w:hAnsi="楷体" w:eastAsia="楷体" w:cs="楷体"/>
        </w:rPr>
      </w:pPr>
      <w:r>
        <w:rPr>
          <w:rFonts w:hint="eastAsia" w:ascii="楷体" w:hAnsi="楷体" w:eastAsia="楷体" w:cs="楷体"/>
        </w:rPr>
        <w:t>一、项目原创内容</w:t>
      </w:r>
    </w:p>
    <w:p w14:paraId="1816E78A">
      <w:r>
        <w:t>以下内容属于本项目围绕高职涉农物联网专业校本教研、岭南红橙病虫害识别与智能防治场景形成的原创或二次开发成果：</w:t>
      </w:r>
    </w:p>
    <w:p w14:paraId="5B532D0B">
      <w:pPr>
        <w:pStyle w:val="14"/>
      </w:pPr>
      <w:r>
        <w:t>项目应用场景设计：面向岭南红橙病虫害智能监测、实训教学、校本教研、检测台账和教学案例生成的一体化业务流程设计。</w:t>
      </w:r>
    </w:p>
    <w:p w14:paraId="12601C56">
      <w:pPr>
        <w:pStyle w:val="14"/>
      </w:pPr>
      <w:r>
        <w:t>桌面应用工程代码：app.py、lingnan/、tools/、tests/ 中围绕本项目业务编写的 Python 代码、PyQt5 界面逻辑、检测流程、台账管理、报表导出、教研生成、测试用例和文档生成脚本。</w:t>
      </w:r>
    </w:p>
    <w:p w14:paraId="237CAEBC">
      <w:pPr>
        <w:pStyle w:val="14"/>
      </w:pPr>
      <w:r>
        <w:t>校本知识库组织方式：围绕 12 类红橙/柑橘高发病虫害、5 个物候期、三位一体绿色防治方案、安全间隔期（PHI）提示所构建的本地 SQLite 结构、字段组织和检索逻辑。</w:t>
      </w:r>
    </w:p>
    <w:p w14:paraId="24319620">
      <w:pPr>
        <w:pStyle w:val="14"/>
      </w:pPr>
      <w:r>
        <w:t>教学教研生成流程：将 YOLOv8 检测结果、严重程度、物候期、农户/果园档案、绿色处方和可选大模型接口转化为教学案例、学生农技实训指导意见的 Prompt 模板、降级模板和审核导出流程。</w:t>
      </w:r>
    </w:p>
    <w:p w14:paraId="00FBBAC5">
      <w:pPr>
        <w:pStyle w:val="14"/>
      </w:pPr>
      <w:r>
        <w:t>项目交付文档：安装手册、项目开发记录、项目使用手册、开发与应用报告等由本项目上下文生成和整理的交付性文档。</w:t>
      </w:r>
    </w:p>
    <w:p w14:paraId="2475CF40">
      <w:pPr>
        <w:pStyle w:val="3"/>
        <w:rPr>
          <w:rFonts w:hint="eastAsia" w:ascii="楷体" w:hAnsi="楷体" w:eastAsia="楷体" w:cs="楷体"/>
        </w:rPr>
      </w:pPr>
      <w:r>
        <w:rPr>
          <w:rFonts w:hint="eastAsia" w:ascii="楷体" w:hAnsi="楷体" w:eastAsia="楷体" w:cs="楷体"/>
        </w:rPr>
        <w:t>二、第三方开源技术与工具出处</w:t>
      </w:r>
    </w:p>
    <w:p w14:paraId="36A4C844">
      <w:r>
        <w:t>本项目使用以下第三方开源框架、库或工具。其著作权、商标权和许可条款归原作者或维护组织所有，使用时应遵循对应许可证。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15"/>
        <w:gridCol w:w="1406"/>
        <w:gridCol w:w="5166"/>
        <w:gridCol w:w="1561"/>
      </w:tblGrid>
      <w:tr w14:paraId="51754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shd w:val="clear" w:color="auto" w:fill="D9EAF7"/>
          </w:tcPr>
          <w:p w14:paraId="58DAED8B">
            <w:pPr>
              <w:spacing w:after="0" w:line="240" w:lineRule="auto"/>
            </w:pPr>
            <w:r>
              <w:t>名称</w:t>
            </w:r>
          </w:p>
        </w:tc>
        <w:tc>
          <w:tcPr>
            <w:tcW w:w="2408" w:type="dxa"/>
            <w:shd w:val="clear" w:color="auto" w:fill="D9EAF7"/>
          </w:tcPr>
          <w:p w14:paraId="6E0CDA7A">
            <w:pPr>
              <w:spacing w:after="0" w:line="240" w:lineRule="auto"/>
            </w:pPr>
            <w:r>
              <w:t>用途</w:t>
            </w:r>
          </w:p>
        </w:tc>
        <w:tc>
          <w:tcPr>
            <w:tcW w:w="2408" w:type="dxa"/>
            <w:shd w:val="clear" w:color="auto" w:fill="D9EAF7"/>
          </w:tcPr>
          <w:p w14:paraId="4D0A1242">
            <w:pPr>
              <w:spacing w:after="0" w:line="240" w:lineRule="auto"/>
            </w:pPr>
            <w:r>
              <w:t>出处 / 官方链接</w:t>
            </w:r>
          </w:p>
        </w:tc>
        <w:tc>
          <w:tcPr>
            <w:tcW w:w="2408" w:type="dxa"/>
            <w:shd w:val="clear" w:color="auto" w:fill="D9EAF7"/>
          </w:tcPr>
          <w:p w14:paraId="5FD43B0E">
            <w:pPr>
              <w:spacing w:after="0" w:line="240" w:lineRule="auto"/>
            </w:pPr>
            <w:r>
              <w:t>许可或合规提示</w:t>
            </w:r>
          </w:p>
        </w:tc>
      </w:tr>
      <w:tr w14:paraId="49F79F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4339A63">
            <w:pPr>
              <w:spacing w:after="0" w:line="240" w:lineRule="auto"/>
            </w:pPr>
            <w:r>
              <w:t>Ultralytics YOLOv8</w:t>
            </w:r>
          </w:p>
        </w:tc>
        <w:tc>
          <w:tcPr>
            <w:tcW w:w="2408" w:type="dxa"/>
            <w:vAlign w:val="center"/>
          </w:tcPr>
          <w:p w14:paraId="5627B02D">
            <w:pPr>
              <w:spacing w:after="0" w:line="240" w:lineRule="auto"/>
            </w:pPr>
            <w:r>
              <w:t>目标检测训练、推理、导出基础框架</w:t>
            </w:r>
          </w:p>
        </w:tc>
        <w:tc>
          <w:tcPr>
            <w:tcW w:w="2408" w:type="dxa"/>
            <w:vAlign w:val="center"/>
          </w:tcPr>
          <w:p w14:paraId="5ABB63C1">
            <w:pPr>
              <w:spacing w:after="0" w:line="240" w:lineRule="auto"/>
            </w:pPr>
            <w:r>
              <w:t>https://docs.ultralytics.com</w:t>
            </w:r>
          </w:p>
        </w:tc>
        <w:tc>
          <w:tcPr>
            <w:tcW w:w="2408" w:type="dxa"/>
            <w:vAlign w:val="center"/>
          </w:tcPr>
          <w:p w14:paraId="17083DE4">
            <w:pPr>
              <w:spacing w:after="0" w:line="240" w:lineRule="auto"/>
            </w:pPr>
            <w:r>
              <w:t>AGPL-3.0；商业化分发需评估商业许可</w:t>
            </w:r>
          </w:p>
        </w:tc>
      </w:tr>
      <w:tr w14:paraId="6152B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14632D80">
            <w:pPr>
              <w:spacing w:after="0" w:line="240" w:lineRule="auto"/>
            </w:pPr>
            <w:r>
              <w:t>YOLO 系列算法思想</w:t>
            </w:r>
          </w:p>
        </w:tc>
        <w:tc>
          <w:tcPr>
            <w:tcW w:w="2408" w:type="dxa"/>
            <w:vAlign w:val="center"/>
          </w:tcPr>
          <w:p w14:paraId="50C7CB5D">
            <w:pPr>
              <w:spacing w:after="0" w:line="240" w:lineRule="auto"/>
            </w:pPr>
            <w:r>
              <w:t>单阶段实时目标检测方法基础</w:t>
            </w:r>
          </w:p>
        </w:tc>
        <w:tc>
          <w:tcPr>
            <w:tcW w:w="2408" w:type="dxa"/>
            <w:vAlign w:val="center"/>
          </w:tcPr>
          <w:p w14:paraId="0D9BC8FD">
            <w:pPr>
              <w:spacing w:after="0" w:line="240" w:lineRule="auto"/>
            </w:pPr>
            <w:r>
              <w:t>Redmon 等 YOLO 系列论文；Ultralytics 文档</w:t>
            </w:r>
          </w:p>
        </w:tc>
        <w:tc>
          <w:tcPr>
            <w:tcW w:w="2408" w:type="dxa"/>
            <w:vAlign w:val="center"/>
          </w:tcPr>
          <w:p w14:paraId="00714950">
            <w:pPr>
              <w:spacing w:after="0" w:line="240" w:lineRule="auto"/>
            </w:pPr>
            <w:r>
              <w:t>本项目为场景化应用与工程集成，不声明 YOLO 基础算法原创</w:t>
            </w:r>
          </w:p>
        </w:tc>
      </w:tr>
      <w:tr w14:paraId="299BD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F9C9B59">
            <w:pPr>
              <w:spacing w:after="0" w:line="240" w:lineRule="auto"/>
            </w:pPr>
            <w:r>
              <w:t>ONNX Runtime</w:t>
            </w:r>
          </w:p>
        </w:tc>
        <w:tc>
          <w:tcPr>
            <w:tcW w:w="2408" w:type="dxa"/>
            <w:vAlign w:val="center"/>
          </w:tcPr>
          <w:p w14:paraId="64FF9B03">
            <w:pPr>
              <w:spacing w:after="0" w:line="240" w:lineRule="auto"/>
            </w:pPr>
            <w:r>
              <w:t>ONNX 模型本地 CPU 推理</w:t>
            </w:r>
          </w:p>
        </w:tc>
        <w:tc>
          <w:tcPr>
            <w:tcW w:w="2408" w:type="dxa"/>
            <w:vAlign w:val="center"/>
          </w:tcPr>
          <w:p w14:paraId="22330742">
            <w:pPr>
              <w:spacing w:after="0" w:line="240" w:lineRule="auto"/>
            </w:pPr>
            <w:r>
              <w:t>https://onnxruntime.ai</w:t>
            </w:r>
          </w:p>
        </w:tc>
        <w:tc>
          <w:tcPr>
            <w:tcW w:w="2408" w:type="dxa"/>
            <w:vAlign w:val="center"/>
          </w:tcPr>
          <w:p w14:paraId="6C2E8929">
            <w:pPr>
              <w:spacing w:after="0" w:line="240" w:lineRule="auto"/>
            </w:pPr>
            <w:r>
              <w:t>MIT</w:t>
            </w:r>
          </w:p>
        </w:tc>
      </w:tr>
      <w:tr w14:paraId="1527A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978EAEC">
            <w:pPr>
              <w:spacing w:after="0" w:line="240" w:lineRule="auto"/>
            </w:pPr>
            <w:r>
              <w:t>ONNX</w:t>
            </w:r>
          </w:p>
        </w:tc>
        <w:tc>
          <w:tcPr>
            <w:tcW w:w="2408" w:type="dxa"/>
            <w:vAlign w:val="center"/>
          </w:tcPr>
          <w:p w14:paraId="24CB05BA">
            <w:pPr>
              <w:spacing w:after="0" w:line="240" w:lineRule="auto"/>
            </w:pPr>
            <w:r>
              <w:t>模型交换格式</w:t>
            </w:r>
          </w:p>
        </w:tc>
        <w:tc>
          <w:tcPr>
            <w:tcW w:w="2408" w:type="dxa"/>
            <w:vAlign w:val="center"/>
          </w:tcPr>
          <w:p w14:paraId="33C046E5">
            <w:pPr>
              <w:spacing w:after="0" w:line="240" w:lineRule="auto"/>
            </w:pPr>
            <w:r>
              <w:t>https://onnx.ai</w:t>
            </w:r>
          </w:p>
        </w:tc>
        <w:tc>
          <w:tcPr>
            <w:tcW w:w="2408" w:type="dxa"/>
            <w:vAlign w:val="center"/>
          </w:tcPr>
          <w:p w14:paraId="6DF5117B">
            <w:pPr>
              <w:spacing w:after="0" w:line="240" w:lineRule="auto"/>
            </w:pPr>
            <w:r>
              <w:t>开放标准及相关开源实现</w:t>
            </w:r>
          </w:p>
        </w:tc>
      </w:tr>
      <w:tr w14:paraId="44706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84FACF4">
            <w:pPr>
              <w:spacing w:after="0" w:line="240" w:lineRule="auto"/>
            </w:pPr>
            <w:r>
              <w:t>PyQt5</w:t>
            </w:r>
          </w:p>
        </w:tc>
        <w:tc>
          <w:tcPr>
            <w:tcW w:w="2408" w:type="dxa"/>
            <w:vAlign w:val="center"/>
          </w:tcPr>
          <w:p w14:paraId="42BEA90C">
            <w:pPr>
              <w:spacing w:after="0" w:line="240" w:lineRule="auto"/>
            </w:pPr>
            <w:r>
              <w:t>桌面 GUI 框架</w:t>
            </w:r>
          </w:p>
        </w:tc>
        <w:tc>
          <w:tcPr>
            <w:tcW w:w="2408" w:type="dxa"/>
            <w:vAlign w:val="center"/>
          </w:tcPr>
          <w:p w14:paraId="7027AF57">
            <w:pPr>
              <w:spacing w:after="0" w:line="240" w:lineRule="auto"/>
            </w:pPr>
            <w:r>
              <w:t>https://riverbankcomputing.com/software/pyqt/</w:t>
            </w:r>
          </w:p>
        </w:tc>
        <w:tc>
          <w:tcPr>
            <w:tcW w:w="2408" w:type="dxa"/>
            <w:vAlign w:val="center"/>
          </w:tcPr>
          <w:p w14:paraId="5FC2071A">
            <w:pPr>
              <w:spacing w:after="0" w:line="240" w:lineRule="auto"/>
            </w:pPr>
            <w:r>
              <w:t>GPL v3 / 商业许可；商业化需评估许可或迁移 PySide6</w:t>
            </w:r>
          </w:p>
        </w:tc>
      </w:tr>
      <w:tr w14:paraId="62899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48414985">
            <w:pPr>
              <w:spacing w:after="0" w:line="240" w:lineRule="auto"/>
            </w:pPr>
            <w:r>
              <w:t>PyQt-Fluent-Widgets</w:t>
            </w:r>
          </w:p>
        </w:tc>
        <w:tc>
          <w:tcPr>
            <w:tcW w:w="2408" w:type="dxa"/>
            <w:vAlign w:val="center"/>
          </w:tcPr>
          <w:p w14:paraId="622035FF">
            <w:pPr>
              <w:spacing w:after="0" w:line="240" w:lineRule="auto"/>
            </w:pPr>
            <w:r>
              <w:t>Fluent 风格 PyQt 控件</w:t>
            </w:r>
          </w:p>
        </w:tc>
        <w:tc>
          <w:tcPr>
            <w:tcW w:w="2408" w:type="dxa"/>
            <w:vAlign w:val="center"/>
          </w:tcPr>
          <w:p w14:paraId="1ACB06FD">
            <w:pPr>
              <w:spacing w:after="0" w:line="240" w:lineRule="auto"/>
            </w:pPr>
            <w:r>
              <w:t>https://github.com/zhiyiYo/PyQt-Fluent-Widgets</w:t>
            </w:r>
          </w:p>
        </w:tc>
        <w:tc>
          <w:tcPr>
            <w:tcW w:w="2408" w:type="dxa"/>
            <w:vAlign w:val="center"/>
          </w:tcPr>
          <w:p w14:paraId="6FF99142">
            <w:pPr>
              <w:spacing w:after="0" w:line="240" w:lineRule="auto"/>
            </w:pPr>
            <w:r>
              <w:t>按项目许可证使用</w:t>
            </w:r>
          </w:p>
        </w:tc>
      </w:tr>
      <w:tr w14:paraId="38717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3907231">
            <w:pPr>
              <w:spacing w:after="0" w:line="240" w:lineRule="auto"/>
            </w:pPr>
            <w:r>
              <w:t>OpenCV</w:t>
            </w:r>
          </w:p>
        </w:tc>
        <w:tc>
          <w:tcPr>
            <w:tcW w:w="2408" w:type="dxa"/>
            <w:vAlign w:val="center"/>
          </w:tcPr>
          <w:p w14:paraId="58D0D3E3">
            <w:pPr>
              <w:spacing w:after="0" w:line="240" w:lineRule="auto"/>
            </w:pPr>
            <w:r>
              <w:t>图像读取、处理与可视化辅助</w:t>
            </w:r>
          </w:p>
        </w:tc>
        <w:tc>
          <w:tcPr>
            <w:tcW w:w="2408" w:type="dxa"/>
            <w:vAlign w:val="center"/>
          </w:tcPr>
          <w:p w14:paraId="742867B9">
            <w:pPr>
              <w:spacing w:after="0" w:line="240" w:lineRule="auto"/>
            </w:pPr>
            <w:r>
              <w:t>https://opencv.org</w:t>
            </w:r>
          </w:p>
        </w:tc>
        <w:tc>
          <w:tcPr>
            <w:tcW w:w="2408" w:type="dxa"/>
            <w:vAlign w:val="center"/>
          </w:tcPr>
          <w:p w14:paraId="3DEC77DB">
            <w:pPr>
              <w:spacing w:after="0" w:line="240" w:lineRule="auto"/>
            </w:pPr>
            <w:r>
              <w:t>Apache-2.0</w:t>
            </w:r>
          </w:p>
        </w:tc>
      </w:tr>
      <w:tr w14:paraId="1B634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A9F344B">
            <w:pPr>
              <w:spacing w:after="0" w:line="240" w:lineRule="auto"/>
            </w:pPr>
            <w:r>
              <w:t>NumPy</w:t>
            </w:r>
          </w:p>
        </w:tc>
        <w:tc>
          <w:tcPr>
            <w:tcW w:w="2408" w:type="dxa"/>
            <w:vAlign w:val="center"/>
          </w:tcPr>
          <w:p w14:paraId="1E1C67D2">
            <w:pPr>
              <w:spacing w:after="0" w:line="240" w:lineRule="auto"/>
            </w:pPr>
            <w:r>
              <w:t>数值计算</w:t>
            </w:r>
          </w:p>
        </w:tc>
        <w:tc>
          <w:tcPr>
            <w:tcW w:w="2408" w:type="dxa"/>
            <w:vAlign w:val="center"/>
          </w:tcPr>
          <w:p w14:paraId="7F5091D7">
            <w:pPr>
              <w:spacing w:after="0" w:line="240" w:lineRule="auto"/>
            </w:pPr>
            <w:r>
              <w:t>https://numpy.org</w:t>
            </w:r>
          </w:p>
        </w:tc>
        <w:tc>
          <w:tcPr>
            <w:tcW w:w="2408" w:type="dxa"/>
            <w:vAlign w:val="center"/>
          </w:tcPr>
          <w:p w14:paraId="4C9AA0F8">
            <w:pPr>
              <w:spacing w:after="0" w:line="240" w:lineRule="auto"/>
            </w:pPr>
            <w:r>
              <w:t>BSD</w:t>
            </w:r>
          </w:p>
        </w:tc>
      </w:tr>
      <w:tr w14:paraId="2D5AC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B893CC0">
            <w:pPr>
              <w:spacing w:after="0" w:line="240" w:lineRule="auto"/>
            </w:pPr>
            <w:r>
              <w:t>Pillow</w:t>
            </w:r>
          </w:p>
        </w:tc>
        <w:tc>
          <w:tcPr>
            <w:tcW w:w="2408" w:type="dxa"/>
            <w:vAlign w:val="center"/>
          </w:tcPr>
          <w:p w14:paraId="6E0F9830">
            <w:pPr>
              <w:spacing w:after="0" w:line="240" w:lineRule="auto"/>
            </w:pPr>
            <w:r>
              <w:t>图像处理</w:t>
            </w:r>
          </w:p>
        </w:tc>
        <w:tc>
          <w:tcPr>
            <w:tcW w:w="2408" w:type="dxa"/>
            <w:vAlign w:val="center"/>
          </w:tcPr>
          <w:p w14:paraId="09B5B2B6">
            <w:pPr>
              <w:spacing w:after="0" w:line="240" w:lineRule="auto"/>
            </w:pPr>
            <w:r>
              <w:t>https://python-pillow.org</w:t>
            </w:r>
          </w:p>
        </w:tc>
        <w:tc>
          <w:tcPr>
            <w:tcW w:w="2408" w:type="dxa"/>
            <w:vAlign w:val="center"/>
          </w:tcPr>
          <w:p w14:paraId="01619906">
            <w:pPr>
              <w:spacing w:after="0" w:line="240" w:lineRule="auto"/>
            </w:pPr>
            <w:r>
              <w:t>HPND / PIL Software License</w:t>
            </w:r>
          </w:p>
        </w:tc>
      </w:tr>
      <w:tr w14:paraId="68E14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45D2D99">
            <w:pPr>
              <w:spacing w:after="0" w:line="240" w:lineRule="auto"/>
            </w:pPr>
            <w:r>
              <w:t>SQLite / sqlite3</w:t>
            </w:r>
          </w:p>
        </w:tc>
        <w:tc>
          <w:tcPr>
            <w:tcW w:w="2408" w:type="dxa"/>
            <w:vAlign w:val="center"/>
          </w:tcPr>
          <w:p w14:paraId="5E9C9076">
            <w:pPr>
              <w:spacing w:after="0" w:line="240" w:lineRule="auto"/>
            </w:pPr>
            <w:r>
              <w:t>本地嵌入式数据库</w:t>
            </w:r>
          </w:p>
        </w:tc>
        <w:tc>
          <w:tcPr>
            <w:tcW w:w="2408" w:type="dxa"/>
            <w:vAlign w:val="center"/>
          </w:tcPr>
          <w:p w14:paraId="2EA041D8">
            <w:pPr>
              <w:spacing w:after="0" w:line="240" w:lineRule="auto"/>
            </w:pPr>
            <w:r>
              <w:t>https://sqlite.org</w:t>
            </w:r>
          </w:p>
        </w:tc>
        <w:tc>
          <w:tcPr>
            <w:tcW w:w="2408" w:type="dxa"/>
            <w:vAlign w:val="center"/>
          </w:tcPr>
          <w:p w14:paraId="40010103">
            <w:pPr>
              <w:spacing w:after="0" w:line="240" w:lineRule="auto"/>
            </w:pPr>
            <w:r>
              <w:t>SQLite Public Domain；Python sqlite3 为标准库</w:t>
            </w:r>
          </w:p>
        </w:tc>
      </w:tr>
      <w:tr w14:paraId="080B3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2FFA4CC3">
            <w:pPr>
              <w:spacing w:after="0" w:line="240" w:lineRule="auto"/>
            </w:pPr>
            <w:r>
              <w:t>openpyxl</w:t>
            </w:r>
          </w:p>
        </w:tc>
        <w:tc>
          <w:tcPr>
            <w:tcW w:w="2408" w:type="dxa"/>
            <w:vAlign w:val="center"/>
          </w:tcPr>
          <w:p w14:paraId="0FB504CA">
            <w:pPr>
              <w:spacing w:after="0" w:line="240" w:lineRule="auto"/>
            </w:pPr>
            <w:r>
              <w:t>Excel 报表离线生成</w:t>
            </w:r>
          </w:p>
        </w:tc>
        <w:tc>
          <w:tcPr>
            <w:tcW w:w="2408" w:type="dxa"/>
            <w:vAlign w:val="center"/>
          </w:tcPr>
          <w:p w14:paraId="100D6439">
            <w:pPr>
              <w:spacing w:after="0" w:line="240" w:lineRule="auto"/>
            </w:pPr>
            <w:r>
              <w:t>https://openpyxl.readthedocs.io</w:t>
            </w:r>
          </w:p>
        </w:tc>
        <w:tc>
          <w:tcPr>
            <w:tcW w:w="2408" w:type="dxa"/>
            <w:vAlign w:val="center"/>
          </w:tcPr>
          <w:p w14:paraId="773561D0">
            <w:pPr>
              <w:spacing w:after="0" w:line="240" w:lineRule="auto"/>
            </w:pPr>
            <w:r>
              <w:t>MIT</w:t>
            </w:r>
          </w:p>
        </w:tc>
      </w:tr>
      <w:tr w14:paraId="44D7FF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2E825C2">
            <w:pPr>
              <w:spacing w:after="0" w:line="240" w:lineRule="auto"/>
            </w:pPr>
            <w:r>
              <w:t>reportlab</w:t>
            </w:r>
          </w:p>
        </w:tc>
        <w:tc>
          <w:tcPr>
            <w:tcW w:w="2408" w:type="dxa"/>
            <w:vAlign w:val="center"/>
          </w:tcPr>
          <w:p w14:paraId="0E30CCC3">
            <w:pPr>
              <w:spacing w:after="0" w:line="240" w:lineRule="auto"/>
            </w:pPr>
            <w:r>
              <w:t>PDF 报告生成</w:t>
            </w:r>
          </w:p>
        </w:tc>
        <w:tc>
          <w:tcPr>
            <w:tcW w:w="2408" w:type="dxa"/>
            <w:vAlign w:val="center"/>
          </w:tcPr>
          <w:p w14:paraId="4E26E24F">
            <w:pPr>
              <w:spacing w:after="0" w:line="240" w:lineRule="auto"/>
            </w:pPr>
            <w:r>
              <w:t>https://www.reportlab.com/opensource/</w:t>
            </w:r>
          </w:p>
        </w:tc>
        <w:tc>
          <w:tcPr>
            <w:tcW w:w="2408" w:type="dxa"/>
            <w:vAlign w:val="center"/>
          </w:tcPr>
          <w:p w14:paraId="6FFF3D7C">
            <w:pPr>
              <w:spacing w:after="0" w:line="240" w:lineRule="auto"/>
            </w:pPr>
            <w:r>
              <w:t>BSD-style</w:t>
            </w:r>
          </w:p>
        </w:tc>
      </w:tr>
      <w:tr w14:paraId="5691F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0D5A8BBC">
            <w:pPr>
              <w:spacing w:after="0" w:line="240" w:lineRule="auto"/>
            </w:pPr>
            <w:r>
              <w:t>requests</w:t>
            </w:r>
          </w:p>
        </w:tc>
        <w:tc>
          <w:tcPr>
            <w:tcW w:w="2408" w:type="dxa"/>
            <w:vAlign w:val="center"/>
          </w:tcPr>
          <w:p w14:paraId="3DFA8C18">
            <w:pPr>
              <w:spacing w:after="0" w:line="240" w:lineRule="auto"/>
            </w:pPr>
            <w:r>
              <w:t>大模型兼容 API / HTTP 请求</w:t>
            </w:r>
          </w:p>
        </w:tc>
        <w:tc>
          <w:tcPr>
            <w:tcW w:w="2408" w:type="dxa"/>
            <w:vAlign w:val="center"/>
          </w:tcPr>
          <w:p w14:paraId="6A25470F">
            <w:pPr>
              <w:spacing w:after="0" w:line="240" w:lineRule="auto"/>
            </w:pPr>
            <w:r>
              <w:t>https://requests.readthedocs.io</w:t>
            </w:r>
          </w:p>
        </w:tc>
        <w:tc>
          <w:tcPr>
            <w:tcW w:w="2408" w:type="dxa"/>
            <w:vAlign w:val="center"/>
          </w:tcPr>
          <w:p w14:paraId="41EBDF02">
            <w:pPr>
              <w:spacing w:after="0" w:line="240" w:lineRule="auto"/>
            </w:pPr>
            <w:r>
              <w:t>Apache-2.0</w:t>
            </w:r>
          </w:p>
        </w:tc>
      </w:tr>
      <w:tr w14:paraId="7B7641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34BF096F">
            <w:pPr>
              <w:spacing w:after="0" w:line="240" w:lineRule="auto"/>
            </w:pPr>
            <w:r>
              <w:t>PyInstaller</w:t>
            </w:r>
          </w:p>
        </w:tc>
        <w:tc>
          <w:tcPr>
            <w:tcW w:w="2408" w:type="dxa"/>
            <w:vAlign w:val="center"/>
          </w:tcPr>
          <w:p w14:paraId="356EC7FB">
            <w:pPr>
              <w:spacing w:after="0" w:line="240" w:lineRule="auto"/>
            </w:pPr>
            <w:r>
              <w:t>Windows 可执行程序打包</w:t>
            </w:r>
          </w:p>
        </w:tc>
        <w:tc>
          <w:tcPr>
            <w:tcW w:w="2408" w:type="dxa"/>
            <w:vAlign w:val="center"/>
          </w:tcPr>
          <w:p w14:paraId="1A9C2AF2">
            <w:pPr>
              <w:spacing w:after="0" w:line="240" w:lineRule="auto"/>
            </w:pPr>
            <w:r>
              <w:t>https://pyinstaller.org</w:t>
            </w:r>
          </w:p>
        </w:tc>
        <w:tc>
          <w:tcPr>
            <w:tcW w:w="2408" w:type="dxa"/>
            <w:vAlign w:val="center"/>
          </w:tcPr>
          <w:p w14:paraId="24F4C54B">
            <w:pPr>
              <w:spacing w:after="0" w:line="240" w:lineRule="auto"/>
            </w:pPr>
            <w:r>
              <w:t>GPL v2 with exception</w:t>
            </w:r>
          </w:p>
        </w:tc>
      </w:tr>
      <w:tr w14:paraId="6350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76451EB9">
            <w:pPr>
              <w:spacing w:after="0" w:line="240" w:lineRule="auto"/>
            </w:pPr>
            <w:r>
              <w:t>Inno Setup</w:t>
            </w:r>
          </w:p>
        </w:tc>
        <w:tc>
          <w:tcPr>
            <w:tcW w:w="2408" w:type="dxa"/>
            <w:vAlign w:val="center"/>
          </w:tcPr>
          <w:p w14:paraId="5BA5C203">
            <w:pPr>
              <w:spacing w:after="0" w:line="240" w:lineRule="auto"/>
            </w:pPr>
            <w:r>
              <w:t>Windows 安装向导制作</w:t>
            </w:r>
          </w:p>
        </w:tc>
        <w:tc>
          <w:tcPr>
            <w:tcW w:w="2408" w:type="dxa"/>
            <w:vAlign w:val="center"/>
          </w:tcPr>
          <w:p w14:paraId="73708195">
            <w:pPr>
              <w:spacing w:after="0" w:line="240" w:lineRule="auto"/>
            </w:pPr>
            <w:r>
              <w:t>https://jrsoftware.org/isinfo.php</w:t>
            </w:r>
          </w:p>
        </w:tc>
        <w:tc>
          <w:tcPr>
            <w:tcW w:w="2408" w:type="dxa"/>
            <w:vAlign w:val="center"/>
          </w:tcPr>
          <w:p w14:paraId="4B4AD615">
            <w:pPr>
              <w:spacing w:after="0" w:line="240" w:lineRule="auto"/>
            </w:pPr>
            <w:r>
              <w:t>Inno Setup License</w:t>
            </w:r>
          </w:p>
        </w:tc>
      </w:tr>
      <w:tr w14:paraId="75791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8" w:type="dxa"/>
            <w:vAlign w:val="center"/>
          </w:tcPr>
          <w:p w14:paraId="64E586B1">
            <w:pPr>
              <w:spacing w:after="0" w:line="240" w:lineRule="auto"/>
            </w:pPr>
            <w:r>
              <w:t>pytest</w:t>
            </w:r>
          </w:p>
        </w:tc>
        <w:tc>
          <w:tcPr>
            <w:tcW w:w="2408" w:type="dxa"/>
            <w:vAlign w:val="center"/>
          </w:tcPr>
          <w:p w14:paraId="6CB8618D">
            <w:pPr>
              <w:spacing w:after="0" w:line="240" w:lineRule="auto"/>
            </w:pPr>
            <w:r>
              <w:t>单元测试框架</w:t>
            </w:r>
          </w:p>
        </w:tc>
        <w:tc>
          <w:tcPr>
            <w:tcW w:w="2408" w:type="dxa"/>
            <w:vAlign w:val="center"/>
          </w:tcPr>
          <w:p w14:paraId="0163073C">
            <w:pPr>
              <w:spacing w:after="0" w:line="240" w:lineRule="auto"/>
            </w:pPr>
            <w:r>
              <w:t>https://docs.pytest.org</w:t>
            </w:r>
          </w:p>
        </w:tc>
        <w:tc>
          <w:tcPr>
            <w:tcW w:w="2408" w:type="dxa"/>
            <w:vAlign w:val="center"/>
          </w:tcPr>
          <w:p w14:paraId="274D2165">
            <w:pPr>
              <w:spacing w:after="0" w:line="240" w:lineRule="auto"/>
            </w:pPr>
            <w:r>
              <w:t>MIT</w:t>
            </w:r>
          </w:p>
        </w:tc>
      </w:tr>
    </w:tbl>
    <w:p w14:paraId="740E023E"/>
    <w:p w14:paraId="36F079DF">
      <w:pPr>
        <w:pStyle w:val="3"/>
        <w:rPr>
          <w:rFonts w:hint="eastAsia" w:ascii="楷体" w:hAnsi="楷体" w:eastAsia="楷体" w:cs="楷体"/>
        </w:rPr>
      </w:pPr>
      <w:r>
        <w:rPr>
          <w:rFonts w:hint="eastAsia" w:ascii="楷体" w:hAnsi="楷体" w:eastAsia="楷体" w:cs="楷体"/>
        </w:rPr>
        <w:t>三、模型与权重说明</w:t>
      </w:r>
    </w:p>
    <w:p w14:paraId="5135942E">
      <w:pPr>
        <w:pStyle w:val="14"/>
        <w:numPr>
          <w:numId w:val="7"/>
        </w:numPr>
      </w:pPr>
      <w:r>
        <w:t xml:space="preserve">YOLOv8s-XH </w:t>
      </w:r>
      <w:bookmarkStart w:id="0" w:name="_GoBack"/>
      <w:bookmarkEnd w:id="0"/>
      <w:r>
        <w:t>为本项目针对岭南红橙病虫害小目标识别场景提出的应用型模型命名和工程配置，基础训练、推理与导出能力来源于 Ultralytics YOLOv8。</w:t>
      </w:r>
    </w:p>
    <w:p w14:paraId="50CCE743">
      <w:pPr>
        <w:pStyle w:val="14"/>
        <w:numPr>
          <w:numId w:val="7"/>
        </w:numPr>
      </w:pPr>
      <w:r>
        <w:t>项目中如使用 yolov8s.pt、yolov8n.pt 等预训练权重，其来源为 Ultralytics 官方发布权重或用户本地自行准备的权重文件，不属于本项目原创模型权重。</w:t>
      </w:r>
    </w:p>
    <w:p w14:paraId="0FFBD432">
      <w:pPr>
        <w:pStyle w:val="14"/>
        <w:numPr>
          <w:numId w:val="7"/>
        </w:numPr>
      </w:pPr>
      <w:r>
        <w:t>项目专属训练权重（如 best.pt、yolov8s_xh_best.onnx、yolov8s_xh_best_int8.onnx）应由项目组基于合法采集、授权或公开许可允许的数据训练获得；提交、展示或分发时需另行确认数据来源和模型权重授权。</w:t>
      </w:r>
    </w:p>
    <w:p w14:paraId="5A875FAB">
      <w:pPr>
        <w:pStyle w:val="14"/>
        <w:numPr>
          <w:numId w:val="7"/>
        </w:numPr>
      </w:pPr>
      <w:r>
        <w:t>本仓库默认通过 .gitignore 排除 *.pt、*.onnx、*.engine 等模型权重文件，避免误传第三方或未授权模型资产。</w:t>
      </w:r>
    </w:p>
    <w:p w14:paraId="4A45C3F2">
      <w:pPr>
        <w:pStyle w:val="3"/>
        <w:rPr>
          <w:rFonts w:hint="eastAsia" w:ascii="楷体" w:hAnsi="楷体" w:eastAsia="楷体" w:cs="楷体"/>
        </w:rPr>
      </w:pPr>
      <w:r>
        <w:rPr>
          <w:rFonts w:hint="eastAsia" w:ascii="楷体" w:hAnsi="楷体" w:eastAsia="楷体" w:cs="楷体"/>
        </w:rPr>
        <w:t>四、数据素材说明</w:t>
      </w:r>
    </w:p>
    <w:p w14:paraId="107AC44C">
      <w:pPr>
        <w:pStyle w:val="14"/>
        <w:numPr>
          <w:numId w:val="8"/>
        </w:numPr>
      </w:pPr>
      <w:r>
        <w:t>一线红橙病虫害图像、物联网温湿度等环境数据如来自广东省特色创新类项目（2025KQNCX312）或合作单位，应以项目授权、采集记录、数据使用协议或脱敏说明为准。</w:t>
      </w:r>
    </w:p>
    <w:p w14:paraId="405F5506">
      <w:pPr>
        <w:pStyle w:val="14"/>
        <w:numPr>
          <w:numId w:val="8"/>
        </w:numPr>
      </w:pPr>
      <w:r>
        <w:t>教学演示图片、搜索采集图片和公开图库图片仅可在其许可范围内用于教学、科研或模型辅助训练；未经授权不得作为商业化数据集分发。</w:t>
      </w:r>
    </w:p>
    <w:p w14:paraId="04B43025">
      <w:pPr>
        <w:pStyle w:val="14"/>
        <w:numPr>
          <w:numId w:val="8"/>
        </w:numPr>
      </w:pPr>
      <w:r>
        <w:t>农户姓名、果园区块、联系方式、检测日志等台账数据属于本地业务数据，应按个人信息保护和学校/合作单位数据管理要求进行脱敏、备份和授权使用。</w:t>
      </w:r>
    </w:p>
    <w:p w14:paraId="3D75E212">
      <w:pPr>
        <w:pStyle w:val="14"/>
        <w:numPr>
          <w:numId w:val="8"/>
        </w:numPr>
      </w:pPr>
      <w:r>
        <w:t>项目中自动生成的 runtime_data/、knowledge/*.db、检测图、导出报表、训练结果等为本地运行产物，默认不纳入公开仓库。</w:t>
      </w:r>
    </w:p>
    <w:p w14:paraId="5CEC47D7">
      <w:pPr>
        <w:pStyle w:val="3"/>
        <w:rPr>
          <w:rFonts w:hint="eastAsia" w:ascii="楷体" w:hAnsi="楷体" w:eastAsia="楷体" w:cs="楷体"/>
        </w:rPr>
      </w:pPr>
      <w:r>
        <w:rPr>
          <w:rFonts w:hint="eastAsia" w:ascii="楷体" w:hAnsi="楷体" w:eastAsia="楷体" w:cs="楷体"/>
        </w:rPr>
        <w:t>五、政策、标准与农技资料依据</w:t>
      </w:r>
    </w:p>
    <w:p w14:paraId="497690A4">
      <w:r>
        <w:t>项目文档和知识库中关于绿色防治、安全间隔期、低毒低残留用药、黄龙病处理等内容参考了农业生产通用规范、公开农技资料及项目技术规范中的约束。涉及具体药剂和防治措施时，应以当地农业农村部门、农药登记信息、作物安全间隔期要求和最新技术指导为准。</w:t>
      </w:r>
    </w:p>
    <w:p w14:paraId="67FA3C85">
      <w:r>
        <w:t>已在项目技术文档中列明的参考资料包括但不限于：</w:t>
      </w:r>
    </w:p>
    <w:p w14:paraId="7DDF1ACD">
      <w:pPr>
        <w:pStyle w:val="14"/>
        <w:numPr>
          <w:numId w:val="9"/>
        </w:numPr>
      </w:pPr>
      <w:r>
        <w:t>Ultralytics YOLOv8 Documentation, https://docs.ultralytics.com</w:t>
      </w:r>
    </w:p>
    <w:p w14:paraId="55436039">
      <w:pPr>
        <w:pStyle w:val="14"/>
        <w:numPr>
          <w:numId w:val="9"/>
        </w:numPr>
      </w:pPr>
      <w:r>
        <w:t>ONNX Runtime Documentation, https://onnxruntime.ai</w:t>
      </w:r>
    </w:p>
    <w:p w14:paraId="66481105">
      <w:pPr>
        <w:pStyle w:val="14"/>
        <w:numPr>
          <w:numId w:val="9"/>
        </w:numPr>
      </w:pPr>
      <w:r>
        <w:t>PyQt5 Reference Guide, Riverbank Computing</w:t>
      </w:r>
    </w:p>
    <w:p w14:paraId="2819FC2C">
      <w:pPr>
        <w:pStyle w:val="14"/>
        <w:numPr>
          <w:numId w:val="9"/>
        </w:numPr>
      </w:pPr>
      <w:r>
        <w:t>OpenCV Library 相关公开文档</w:t>
      </w:r>
    </w:p>
    <w:p w14:paraId="6A7A0038">
      <w:pPr>
        <w:pStyle w:val="14"/>
        <w:numPr>
          <w:numId w:val="9"/>
        </w:numPr>
      </w:pPr>
      <w:r>
        <w:t>SQLite 官方文档, https://sqlite.org</w:t>
      </w:r>
    </w:p>
    <w:p w14:paraId="065C9DBE">
      <w:pPr>
        <w:pStyle w:val="14"/>
        <w:numPr>
          <w:numId w:val="9"/>
        </w:numPr>
      </w:pPr>
      <w:r>
        <w:t>NY/T 393-2020、GB 2763-2021 等绿色食品、农药残留相关标准（以正式发布文本为准）</w:t>
      </w:r>
    </w:p>
    <w:p w14:paraId="287B2B00">
      <w:pPr>
        <w:pStyle w:val="3"/>
        <w:rPr>
          <w:rFonts w:hint="eastAsia" w:ascii="楷体" w:hAnsi="楷体" w:eastAsia="楷体" w:cs="楷体"/>
        </w:rPr>
      </w:pPr>
      <w:r>
        <w:rPr>
          <w:rFonts w:hint="eastAsia" w:ascii="楷体" w:hAnsi="楷体" w:eastAsia="楷体" w:cs="楷体"/>
        </w:rPr>
        <w:t>六、生成式 AI 使用说明</w:t>
      </w:r>
    </w:p>
    <w:p w14:paraId="0FE49877">
      <w:r>
        <w:t>项目开发和文档整理过程中使用了 AI 辅助进行需求梳理、文本润色、代码生成和文档生成。AI 生成内容已经结合项目上下文进行人工筛选、修改和整合，不应视为外部权威依据。涉及事实、农技处方、药剂安全间隔期、项目编号、应用成效和教学数据时，案例作者需进行人工核验并承担真实性责任。</w:t>
      </w:r>
    </w:p>
    <w:p w14:paraId="4428B21C">
      <w:pPr>
        <w:pStyle w:val="3"/>
        <w:rPr>
          <w:rFonts w:hint="eastAsia" w:ascii="楷体" w:hAnsi="楷体" w:eastAsia="楷体" w:cs="楷体"/>
        </w:rPr>
      </w:pPr>
      <w:r>
        <w:rPr>
          <w:rFonts w:hint="eastAsia" w:ascii="楷体" w:hAnsi="楷体" w:eastAsia="楷体" w:cs="楷体"/>
        </w:rPr>
        <w:t>七、责任声明</w:t>
      </w:r>
    </w:p>
    <w:p w14:paraId="21ED6069">
      <w:pPr>
        <w:pStyle w:val="14"/>
        <w:numPr>
          <w:numId w:val="10"/>
        </w:numPr>
      </w:pPr>
      <w:r>
        <w:t>本项目自研代码、业务流程、教学案例组织和交付文档由案例作者负责真实性与原创性。</w:t>
      </w:r>
    </w:p>
    <w:p w14:paraId="5C6A1D28">
      <w:pPr>
        <w:pStyle w:val="14"/>
        <w:numPr>
          <w:numId w:val="10"/>
        </w:numPr>
      </w:pPr>
      <w:r>
        <w:t>第三方开源组件、基础算法、公开资料和外部数据素材均不主张原创，已按可识别范围注明来源。</w:t>
      </w:r>
    </w:p>
    <w:p w14:paraId="1A63CE52">
      <w:pPr>
        <w:pStyle w:val="14"/>
        <w:numPr>
          <w:numId w:val="10"/>
        </w:numPr>
      </w:pPr>
      <w:r>
        <w:t>若后续用于公开评审、比赛、论文、商业推广或对外分发，应再次核对第三方许可证、数据授权、模型权重来源和学生/农户隐私合规要求。</w:t>
      </w:r>
    </w:p>
    <w:sectPr>
      <w:pgSz w:w="12240" w:h="15840"/>
      <w:pgMar w:top="1247" w:right="1304" w:bottom="1134" w:left="130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楷体">
    <w:panose1 w:val="02010609060101010101"/>
    <w:charset w:val="86"/>
    <w:family w:val="auto"/>
    <w:pitch w:val="default"/>
    <w:sig w:usb0="800002BF" w:usb1="38CF7CFA" w:usb2="00000016" w:usb3="00000000" w:csb0="00040001"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505817"/>
    <w:rsid w:val="171750B3"/>
    <w:rsid w:val="20F659A9"/>
    <w:rsid w:val="28620159"/>
    <w:rsid w:val="6B7632C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1930</Words>
  <Characters>3024</Characters>
  <Lines>0</Lines>
  <Paragraphs>0</Paragraphs>
  <TotalTime>0</TotalTime>
  <ScaleCrop>false</ScaleCrop>
  <LinksUpToDate>false</LinksUpToDate>
  <CharactersWithSpaces>3119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A0005 李Dee</cp:lastModifiedBy>
  <dcterms:modified xsi:type="dcterms:W3CDTF">2026-05-30T10:17:19Z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eyJoZGlkIjoiMGMyZmI5MDdmYjQxNzMwZmJiYTQ3NDVkYmM0NmMyODQiLCJ1c2VySWQiOiI1MzY0NzE2MTYifQ==</vt:lpwstr>
  </property>
  <property fmtid="{D5CDD505-2E9C-101B-9397-08002B2CF9AE}" pid="3" name="KSOProductBuildVer">
    <vt:lpwstr>2052-12.1.0.25225</vt:lpwstr>
  </property>
  <property fmtid="{D5CDD505-2E9C-101B-9397-08002B2CF9AE}" pid="4" name="ICV">
    <vt:lpwstr>B85BB70B8D304C6D8A35A169AB65EE87_12</vt:lpwstr>
  </property>
</Properties>
</file>