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40"/>
        </w:rPr>
        <w:t>基于特色创新项目的岭南红橙病虫害智能监测与校本教研一体化平台</w:t>
      </w:r>
    </w:p>
    <w:p>
      <w:pPr>
        <w:jc w:val="center"/>
      </w:pPr>
      <w:r>
        <w:rPr>
          <w:rFonts w:ascii="微软雅黑" w:hAnsi="微软雅黑" w:eastAsia="微软雅黑"/>
          <w:sz w:val="30"/>
        </w:rPr>
        <w:t>安装手册</w:t>
      </w:r>
    </w:p>
    <w:p>
      <w:pPr>
        <w:jc w:val="center"/>
      </w:pPr>
      <w:r>
        <w:t>编制日期：2026年05月30日</w:t>
      </w:r>
    </w:p>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t>项目</w:t>
            </w:r>
          </w:p>
        </w:tc>
        <w:tc>
          <w:tcPr>
            <w:tcW w:type="dxa" w:w="4320"/>
            <w:shd w:fill="D9EAF7"/>
          </w:tcPr>
          <w:p>
            <w:r>
              <w:t>内容</w:t>
            </w:r>
          </w:p>
        </w:tc>
      </w:tr>
      <w:tr>
        <w:tc>
          <w:tcPr>
            <w:tcW w:type="dxa" w:w="4320"/>
            <w:vAlign w:val="center"/>
          </w:tcPr>
          <w:p>
            <w:r>
              <w:t>项目名称</w:t>
            </w:r>
          </w:p>
        </w:tc>
        <w:tc>
          <w:tcPr>
            <w:tcW w:type="dxa" w:w="4320"/>
            <w:vAlign w:val="center"/>
          </w:tcPr>
          <w:p>
            <w:r>
              <w:t>基于特色创新项目的岭南红橙病虫害智能监测与校本教研一体化平台</w:t>
            </w:r>
          </w:p>
        </w:tc>
      </w:tr>
      <w:tr>
        <w:tc>
          <w:tcPr>
            <w:tcW w:type="dxa" w:w="4320"/>
            <w:vAlign w:val="center"/>
          </w:tcPr>
          <w:p>
            <w:r>
              <w:t>文档名称</w:t>
            </w:r>
          </w:p>
        </w:tc>
        <w:tc>
          <w:tcPr>
            <w:tcW w:type="dxa" w:w="4320"/>
            <w:vAlign w:val="center"/>
          </w:tcPr>
          <w:p>
            <w:r>
              <w:t>安装手册</w:t>
            </w:r>
          </w:p>
        </w:tc>
      </w:tr>
      <w:tr>
        <w:tc>
          <w:tcPr>
            <w:tcW w:type="dxa" w:w="4320"/>
            <w:vAlign w:val="center"/>
          </w:tcPr>
          <w:p>
            <w:r>
              <w:t>文档类型</w:t>
            </w:r>
          </w:p>
        </w:tc>
        <w:tc>
          <w:tcPr>
            <w:tcW w:type="dxa" w:w="4320"/>
            <w:vAlign w:val="center"/>
          </w:tcPr>
          <w:p>
            <w:r>
              <w:t>部署与安装说明</w:t>
            </w:r>
          </w:p>
        </w:tc>
      </w:tr>
      <w:tr>
        <w:tc>
          <w:tcPr>
            <w:tcW w:type="dxa" w:w="4320"/>
            <w:vAlign w:val="center"/>
          </w:tcPr>
          <w:p>
            <w:r>
              <w:t>版本</w:t>
            </w:r>
          </w:p>
        </w:tc>
        <w:tc>
          <w:tcPr>
            <w:tcW w:type="dxa" w:w="4320"/>
            <w:vAlign w:val="center"/>
          </w:tcPr>
          <w:p>
            <w:r>
              <w:t>V1.0</w:t>
            </w:r>
          </w:p>
        </w:tc>
      </w:tr>
      <w:tr>
        <w:tc>
          <w:tcPr>
            <w:tcW w:type="dxa" w:w="4320"/>
            <w:vAlign w:val="center"/>
          </w:tcPr>
          <w:p>
            <w:r>
              <w:t>依据文件</w:t>
            </w:r>
          </w:p>
        </w:tc>
        <w:tc>
          <w:tcPr>
            <w:tcW w:type="dxa" w:w="4320"/>
            <w:vAlign w:val="center"/>
          </w:tcPr>
          <w:p>
            <w:r>
              <w:t>《技术规范文档》V3.0、《可行性研究报告》V3.0、README、当前代码结构</w:t>
            </w:r>
          </w:p>
        </w:tc>
      </w:tr>
      <w:tr>
        <w:tc>
          <w:tcPr>
            <w:tcW w:type="dxa" w:w="4320"/>
            <w:vAlign w:val="center"/>
          </w:tcPr>
          <w:p>
            <w:r>
              <w:t>适用对象</w:t>
            </w:r>
          </w:p>
        </w:tc>
        <w:tc>
          <w:tcPr>
            <w:tcW w:type="dxa" w:w="4320"/>
            <w:vAlign w:val="center"/>
          </w:tcPr>
          <w:p>
            <w:r>
              <w:t>项目实施人员、教师、农技人员、系统维护人员和验收人员</w:t>
            </w:r>
          </w:p>
        </w:tc>
      </w:tr>
    </w:tbl>
    <w:p/>
    <w:p>
      <w:pPr>
        <w:pStyle w:val="Heading1"/>
      </w:pPr>
      <w:r>
        <w:t>1. 安装目标</w:t>
      </w:r>
    </w:p>
    <w:p>
      <w:r>
        <w:t>本文档用于指导在 Windows 10/11、统信 UOS、麒麟 OS V10 等环境中安装、启动和验证本平台。系统以本地化、零网络依赖为基本目标，核心能力包括 YOLOv8 病虫害识别、绿色防治处方、检测台账、报表导出、模型训练工具链和校本教研内容生成。</w:t>
      </w:r>
    </w:p>
    <w:p>
      <w:pPr>
        <w:pStyle w:val="Heading1"/>
      </w:pPr>
      <w:r>
        <w:t>2. 运行环境要求</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t>类别</w:t>
            </w:r>
          </w:p>
        </w:tc>
        <w:tc>
          <w:tcPr>
            <w:tcW w:type="dxa" w:w="2880"/>
            <w:shd w:fill="D9EAF7"/>
          </w:tcPr>
          <w:p>
            <w:r>
              <w:t>最低要求</w:t>
            </w:r>
          </w:p>
        </w:tc>
        <w:tc>
          <w:tcPr>
            <w:tcW w:type="dxa" w:w="2880"/>
            <w:shd w:fill="D9EAF7"/>
          </w:tcPr>
          <w:p>
            <w:r>
              <w:t>推荐配置</w:t>
            </w:r>
          </w:p>
        </w:tc>
      </w:tr>
      <w:tr>
        <w:tc>
          <w:tcPr>
            <w:tcW w:type="dxa" w:w="2880"/>
            <w:vAlign w:val="center"/>
          </w:tcPr>
          <w:p>
            <w:r>
              <w:t>操作系统</w:t>
            </w:r>
          </w:p>
        </w:tc>
        <w:tc>
          <w:tcPr>
            <w:tcW w:type="dxa" w:w="2880"/>
            <w:vAlign w:val="center"/>
          </w:tcPr>
          <w:p>
            <w:r>
              <w:t>Windows 10/11 64位</w:t>
            </w:r>
          </w:p>
        </w:tc>
        <w:tc>
          <w:tcPr>
            <w:tcW w:type="dxa" w:w="2880"/>
            <w:vAlign w:val="center"/>
          </w:tcPr>
          <w:p>
            <w:r>
              <w:t>Windows 11 64位；兼容统信 UOS、麒麟 OS V10</w:t>
            </w:r>
          </w:p>
        </w:tc>
      </w:tr>
      <w:tr>
        <w:tc>
          <w:tcPr>
            <w:tcW w:type="dxa" w:w="2880"/>
            <w:vAlign w:val="center"/>
          </w:tcPr>
          <w:p>
            <w:r>
              <w:t>Python</w:t>
            </w:r>
          </w:p>
        </w:tc>
        <w:tc>
          <w:tcPr>
            <w:tcW w:type="dxa" w:w="2880"/>
            <w:vAlign w:val="center"/>
          </w:tcPr>
          <w:p>
            <w:r>
              <w:t>Python 3.11.x</w:t>
            </w:r>
          </w:p>
        </w:tc>
        <w:tc>
          <w:tcPr>
            <w:tcW w:type="dxa" w:w="2880"/>
            <w:vAlign w:val="center"/>
          </w:tcPr>
          <w:p>
            <w:r>
              <w:t>Python 3.11.9</w:t>
            </w:r>
          </w:p>
        </w:tc>
      </w:tr>
      <w:tr>
        <w:tc>
          <w:tcPr>
            <w:tcW w:type="dxa" w:w="2880"/>
            <w:vAlign w:val="center"/>
          </w:tcPr>
          <w:p>
            <w:r>
              <w:t>CPU</w:t>
            </w:r>
          </w:p>
        </w:tc>
        <w:tc>
          <w:tcPr>
            <w:tcW w:type="dxa" w:w="2880"/>
            <w:vAlign w:val="center"/>
          </w:tcPr>
          <w:p>
            <w:r>
              <w:t>Intel i3-4xxx 或同级</w:t>
            </w:r>
          </w:p>
        </w:tc>
        <w:tc>
          <w:tcPr>
            <w:tcW w:type="dxa" w:w="2880"/>
            <w:vAlign w:val="center"/>
          </w:tcPr>
          <w:p>
            <w:r>
              <w:t>Intel i5-10xxx 或更高</w:t>
            </w:r>
          </w:p>
        </w:tc>
      </w:tr>
      <w:tr>
        <w:tc>
          <w:tcPr>
            <w:tcW w:type="dxa" w:w="2880"/>
            <w:vAlign w:val="center"/>
          </w:tcPr>
          <w:p>
            <w:r>
              <w:t>内存</w:t>
            </w:r>
          </w:p>
        </w:tc>
        <w:tc>
          <w:tcPr>
            <w:tcW w:type="dxa" w:w="2880"/>
            <w:vAlign w:val="center"/>
          </w:tcPr>
          <w:p>
            <w:r>
              <w:t>4 GB</w:t>
            </w:r>
          </w:p>
        </w:tc>
        <w:tc>
          <w:tcPr>
            <w:tcW w:type="dxa" w:w="2880"/>
            <w:vAlign w:val="center"/>
          </w:tcPr>
          <w:p>
            <w:r>
              <w:t>8 GB 及以上</w:t>
            </w:r>
          </w:p>
        </w:tc>
      </w:tr>
      <w:tr>
        <w:tc>
          <w:tcPr>
            <w:tcW w:type="dxa" w:w="2880"/>
            <w:vAlign w:val="center"/>
          </w:tcPr>
          <w:p>
            <w:r>
              <w:t>摄像头</w:t>
            </w:r>
          </w:p>
        </w:tc>
        <w:tc>
          <w:tcPr>
            <w:tcW w:type="dxa" w:w="2880"/>
            <w:vAlign w:val="center"/>
          </w:tcPr>
          <w:p>
            <w:r>
              <w:t>普通 UVC USB 摄像头</w:t>
            </w:r>
          </w:p>
        </w:tc>
        <w:tc>
          <w:tcPr>
            <w:tcW w:type="dxa" w:w="2880"/>
            <w:vAlign w:val="center"/>
          </w:tcPr>
          <w:p>
            <w:r>
              <w:t>USB 数字显微镜或高拍仪</w:t>
            </w:r>
          </w:p>
        </w:tc>
      </w:tr>
      <w:tr>
        <w:tc>
          <w:tcPr>
            <w:tcW w:type="dxa" w:w="2880"/>
            <w:vAlign w:val="center"/>
          </w:tcPr>
          <w:p>
            <w:r>
              <w:t>磁盘空间</w:t>
            </w:r>
          </w:p>
        </w:tc>
        <w:tc>
          <w:tcPr>
            <w:tcW w:type="dxa" w:w="2880"/>
            <w:vAlign w:val="center"/>
          </w:tcPr>
          <w:p>
            <w:r>
              <w:t>2 GB 可用空间</w:t>
            </w:r>
          </w:p>
        </w:tc>
        <w:tc>
          <w:tcPr>
            <w:tcW w:type="dxa" w:w="2880"/>
            <w:vAlign w:val="center"/>
          </w:tcPr>
          <w:p>
            <w:r>
              <w:t>10 GB 以上，便于保存数据集和训练结果</w:t>
            </w:r>
          </w:p>
        </w:tc>
      </w:tr>
      <w:tr>
        <w:tc>
          <w:tcPr>
            <w:tcW w:type="dxa" w:w="2880"/>
            <w:vAlign w:val="center"/>
          </w:tcPr>
          <w:p>
            <w:r>
              <w:t>网络</w:t>
            </w:r>
          </w:p>
        </w:tc>
        <w:tc>
          <w:tcPr>
            <w:tcW w:type="dxa" w:w="2880"/>
            <w:vAlign w:val="center"/>
          </w:tcPr>
          <w:p>
            <w:r>
              <w:t>运行时不依赖外网</w:t>
            </w:r>
          </w:p>
        </w:tc>
        <w:tc>
          <w:tcPr>
            <w:tcW w:type="dxa" w:w="2880"/>
            <w:vAlign w:val="center"/>
          </w:tcPr>
          <w:p>
            <w:r>
              <w:t>仅安装依赖、云端大模型或代码推送时需要网络</w:t>
            </w:r>
          </w:p>
        </w:tc>
      </w:tr>
    </w:tbl>
    <w:p/>
    <w:p>
      <w:pPr>
        <w:pStyle w:val="Heading1"/>
      </w:pPr>
      <w:r>
        <w:t>3. 项目目录说明</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t>目录/文件</w:t>
            </w:r>
          </w:p>
        </w:tc>
        <w:tc>
          <w:tcPr>
            <w:tcW w:type="dxa" w:w="4320"/>
            <w:shd w:fill="D9EAF7"/>
          </w:tcPr>
          <w:p>
            <w:r>
              <w:t>用途</w:t>
            </w:r>
          </w:p>
        </w:tc>
      </w:tr>
      <w:tr>
        <w:tc>
          <w:tcPr>
            <w:tcW w:type="dxa" w:w="4320"/>
            <w:vAlign w:val="center"/>
          </w:tcPr>
          <w:p>
            <w:r>
              <w:t>app.py</w:t>
            </w:r>
          </w:p>
        </w:tc>
        <w:tc>
          <w:tcPr>
            <w:tcW w:type="dxa" w:w="4320"/>
            <w:vAlign w:val="center"/>
          </w:tcPr>
          <w:p>
            <w:r>
              <w:t>桌面应用启动入口</w:t>
            </w:r>
          </w:p>
        </w:tc>
      </w:tr>
      <w:tr>
        <w:tc>
          <w:tcPr>
            <w:tcW w:type="dxa" w:w="4320"/>
            <w:vAlign w:val="center"/>
          </w:tcPr>
          <w:p>
            <w:r>
              <w:t>lingnan/</w:t>
            </w:r>
          </w:p>
        </w:tc>
        <w:tc>
          <w:tcPr>
            <w:tcW w:type="dxa" w:w="4320"/>
            <w:vAlign w:val="center"/>
          </w:tcPr>
          <w:p>
            <w:r>
              <w:t>主程序包，包含核心算法、数据层和 GUI 页面</w:t>
            </w:r>
          </w:p>
        </w:tc>
      </w:tr>
      <w:tr>
        <w:tc>
          <w:tcPr>
            <w:tcW w:type="dxa" w:w="4320"/>
            <w:vAlign w:val="center"/>
          </w:tcPr>
          <w:p>
            <w:r>
              <w:t>models/</w:t>
            </w:r>
          </w:p>
        </w:tc>
        <w:tc>
          <w:tcPr>
            <w:tcW w:type="dxa" w:w="4320"/>
            <w:vAlign w:val="center"/>
          </w:tcPr>
          <w:p>
            <w:r>
              <w:t>放置 YOLOv8 / ONNX / INT8 模型权重，默认不提交 Git</w:t>
            </w:r>
          </w:p>
        </w:tc>
      </w:tr>
      <w:tr>
        <w:tc>
          <w:tcPr>
            <w:tcW w:type="dxa" w:w="4320"/>
            <w:vAlign w:val="center"/>
          </w:tcPr>
          <w:p>
            <w:r>
              <w:t>knowledge/</w:t>
            </w:r>
          </w:p>
        </w:tc>
        <w:tc>
          <w:tcPr>
            <w:tcW w:type="dxa" w:w="4320"/>
            <w:vAlign w:val="center"/>
          </w:tcPr>
          <w:p>
            <w:r>
              <w:t>SQLite 绿色防治知识库，启动时可自动生成</w:t>
            </w:r>
          </w:p>
        </w:tc>
      </w:tr>
      <w:tr>
        <w:tc>
          <w:tcPr>
            <w:tcW w:type="dxa" w:w="4320"/>
            <w:vAlign w:val="center"/>
          </w:tcPr>
          <w:p>
            <w:r>
              <w:t>runtime_data/</w:t>
            </w:r>
          </w:p>
        </w:tc>
        <w:tc>
          <w:tcPr>
            <w:tcW w:type="dxa" w:w="4320"/>
            <w:vAlign w:val="center"/>
          </w:tcPr>
          <w:p>
            <w:r>
              <w:t>运行期数据，包括检测日志、导出报告、训练结果和缓存</w:t>
            </w:r>
          </w:p>
        </w:tc>
      </w:tr>
      <w:tr>
        <w:tc>
          <w:tcPr>
            <w:tcW w:type="dxa" w:w="4320"/>
            <w:vAlign w:val="center"/>
          </w:tcPr>
          <w:p>
            <w:r>
              <w:t>docs/</w:t>
            </w:r>
          </w:p>
        </w:tc>
        <w:tc>
          <w:tcPr>
            <w:tcW w:type="dxa" w:w="4320"/>
            <w:vAlign w:val="center"/>
          </w:tcPr>
          <w:p>
            <w:r>
              <w:t>技术规范文档、可行性研究报告和导入模板</w:t>
            </w:r>
          </w:p>
        </w:tc>
      </w:tr>
      <w:tr>
        <w:tc>
          <w:tcPr>
            <w:tcW w:type="dxa" w:w="4320"/>
            <w:vAlign w:val="center"/>
          </w:tcPr>
          <w:p>
            <w:r>
              <w:t>tools/</w:t>
            </w:r>
          </w:p>
        </w:tc>
        <w:tc>
          <w:tcPr>
            <w:tcW w:type="dxa" w:w="4320"/>
            <w:vAlign w:val="center"/>
          </w:tcPr>
          <w:p>
            <w:r>
              <w:t>训练、导出、量化、基准测试和演示图生成脚本</w:t>
            </w:r>
          </w:p>
        </w:tc>
      </w:tr>
      <w:tr>
        <w:tc>
          <w:tcPr>
            <w:tcW w:type="dxa" w:w="4320"/>
            <w:vAlign w:val="center"/>
          </w:tcPr>
          <w:p>
            <w:r>
              <w:t>tests/</w:t>
            </w:r>
          </w:p>
        </w:tc>
        <w:tc>
          <w:tcPr>
            <w:tcW w:type="dxa" w:w="4320"/>
            <w:vAlign w:val="center"/>
          </w:tcPr>
          <w:p>
            <w:r>
              <w:t>pytest 单元测试</w:t>
            </w:r>
          </w:p>
        </w:tc>
      </w:tr>
      <w:tr>
        <w:tc>
          <w:tcPr>
            <w:tcW w:type="dxa" w:w="4320"/>
            <w:vAlign w:val="center"/>
          </w:tcPr>
          <w:p>
            <w:r>
              <w:t>build.bat / build.spec / installer.iss</w:t>
            </w:r>
          </w:p>
        </w:tc>
        <w:tc>
          <w:tcPr>
            <w:tcW w:type="dxa" w:w="4320"/>
            <w:vAlign w:val="center"/>
          </w:tcPr>
          <w:p>
            <w:r>
              <w:t>Windows 打包和安装向导配置</w:t>
            </w:r>
          </w:p>
        </w:tc>
      </w:tr>
    </w:tbl>
    <w:p/>
    <w:p>
      <w:pPr>
        <w:pStyle w:val="Heading1"/>
      </w:pPr>
      <w:r>
        <w:t>4. 开发环境安装步骤</w:t>
      </w:r>
    </w:p>
    <w:p>
      <w:pPr>
        <w:pStyle w:val="ListNumber"/>
      </w:pPr>
      <w:r>
        <w:t>进入项目根目录，例如 D:\yolov8_gui。</w:t>
      </w:r>
    </w:p>
    <w:p>
      <w:pPr>
        <w:pStyle w:val="ListNumber"/>
      </w:pPr>
      <w:r>
        <w:t>确认已安装 Python 3.11。</w:t>
      </w:r>
    </w:p>
    <w:p>
      <w:pPr>
        <w:pStyle w:val="ListNumber"/>
      </w:pPr>
      <w:r>
        <w:t>创建并激活虚拟环境。</w:t>
      </w:r>
    </w:p>
    <w:p>
      <w:pPr>
        <w:pStyle w:val="ListNumber"/>
      </w:pPr>
      <w:r>
        <w:t>安装 requirements.txt 中声明的依赖。</w:t>
      </w:r>
    </w:p>
    <w:p>
      <w:pPr>
        <w:pStyle w:val="ListNumber"/>
      </w:pPr>
      <w:r>
        <w:t>将训练好的模型文件放入 models/ 目录，或使用内置 MockSimulator 进行界面联调。</w:t>
      </w:r>
    </w:p>
    <w:p>
      <w:pPr>
        <w:pStyle w:val="ListNumber"/>
      </w:pPr>
      <w:r>
        <w:t>运行 app.py 启动应用。</w:t>
      </w:r>
    </w:p>
    <w:p>
      <w:r>
        <w:rPr>
          <w:rFonts w:ascii="Consolas" w:hAnsi="Consolas" w:eastAsia="Consolas"/>
          <w:sz w:val="19"/>
        </w:rPr>
        <w:t>py -3.11 -m venv .venv</w:t>
        <w:br/>
        <w:t>.venv\Scripts\activate</w:t>
        <w:br/>
        <w:t>pip install --upgrade pip</w:t>
        <w:br/>
        <w:t>pip install -r requirements.txt</w:t>
        <w:br/>
        <w:t>python app.py</w:t>
      </w:r>
    </w:p>
    <w:p>
      <w:pPr>
        <w:pStyle w:val="Heading1"/>
      </w:pPr>
      <w:r>
        <w:t>5. 模型文件部署</w:t>
      </w:r>
    </w:p>
    <w:p>
      <w:r>
        <w:t>系统启动时会按优先级自动选择第一个存在的模型文件。推荐部署 INT8 量化 ONNX 模型。</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t>优先级</w:t>
            </w:r>
          </w:p>
        </w:tc>
        <w:tc>
          <w:tcPr>
            <w:tcW w:type="dxa" w:w="2880"/>
            <w:shd w:fill="D9EAF7"/>
          </w:tcPr>
          <w:p>
            <w:r>
              <w:t>文件位置</w:t>
            </w:r>
          </w:p>
        </w:tc>
        <w:tc>
          <w:tcPr>
            <w:tcW w:type="dxa" w:w="2880"/>
            <w:shd w:fill="D9EAF7"/>
          </w:tcPr>
          <w:p>
            <w:r>
              <w:t>说明</w:t>
            </w:r>
          </w:p>
        </w:tc>
      </w:tr>
      <w:tr>
        <w:tc>
          <w:tcPr>
            <w:tcW w:type="dxa" w:w="2880"/>
            <w:vAlign w:val="center"/>
          </w:tcPr>
          <w:p>
            <w:r>
              <w:t>1</w:t>
            </w:r>
          </w:p>
        </w:tc>
        <w:tc>
          <w:tcPr>
            <w:tcW w:type="dxa" w:w="2880"/>
            <w:vAlign w:val="center"/>
          </w:tcPr>
          <w:p>
            <w:r>
              <w:t>models/yolov8s_xh_best_int8.onnx</w:t>
            </w:r>
          </w:p>
        </w:tc>
        <w:tc>
          <w:tcPr>
            <w:tcW w:type="dxa" w:w="2880"/>
            <w:vAlign w:val="center"/>
          </w:tcPr>
          <w:p>
            <w:r>
              <w:t>推荐部署版，体积小、速度快</w:t>
            </w:r>
          </w:p>
        </w:tc>
      </w:tr>
      <w:tr>
        <w:tc>
          <w:tcPr>
            <w:tcW w:type="dxa" w:w="2880"/>
            <w:vAlign w:val="center"/>
          </w:tcPr>
          <w:p>
            <w:r>
              <w:t>2</w:t>
            </w:r>
          </w:p>
        </w:tc>
        <w:tc>
          <w:tcPr>
            <w:tcW w:type="dxa" w:w="2880"/>
            <w:vAlign w:val="center"/>
          </w:tcPr>
          <w:p>
            <w:r>
              <w:t>models/yolov8s_xh_best.onnx</w:t>
            </w:r>
          </w:p>
        </w:tc>
        <w:tc>
          <w:tcPr>
            <w:tcW w:type="dxa" w:w="2880"/>
            <w:vAlign w:val="center"/>
          </w:tcPr>
          <w:p>
            <w:r>
              <w:t>FP32 ONNX 模型</w:t>
            </w:r>
          </w:p>
        </w:tc>
      </w:tr>
      <w:tr>
        <w:tc>
          <w:tcPr>
            <w:tcW w:type="dxa" w:w="2880"/>
            <w:vAlign w:val="center"/>
          </w:tcPr>
          <w:p>
            <w:r>
              <w:t>3</w:t>
            </w:r>
          </w:p>
        </w:tc>
        <w:tc>
          <w:tcPr>
            <w:tcW w:type="dxa" w:w="2880"/>
            <w:vAlign w:val="center"/>
          </w:tcPr>
          <w:p>
            <w:r>
              <w:t>models/yolov8s_xh_best.pt</w:t>
            </w:r>
          </w:p>
        </w:tc>
        <w:tc>
          <w:tcPr>
            <w:tcW w:type="dxa" w:w="2880"/>
            <w:vAlign w:val="center"/>
          </w:tcPr>
          <w:p>
            <w:r>
              <w:t>Ultralytics PyTorch 权重</w:t>
            </w:r>
          </w:p>
        </w:tc>
      </w:tr>
      <w:tr>
        <w:tc>
          <w:tcPr>
            <w:tcW w:type="dxa" w:w="2880"/>
            <w:vAlign w:val="center"/>
          </w:tcPr>
          <w:p>
            <w:r>
              <w:t>4</w:t>
            </w:r>
          </w:p>
        </w:tc>
        <w:tc>
          <w:tcPr>
            <w:tcW w:type="dxa" w:w="2880"/>
            <w:vAlign w:val="center"/>
          </w:tcPr>
          <w:p>
            <w:r>
              <w:t>models/yolov8s.pt 或项目根目录 yolov8s.pt</w:t>
            </w:r>
          </w:p>
        </w:tc>
        <w:tc>
          <w:tcPr>
            <w:tcW w:type="dxa" w:w="2880"/>
            <w:vAlign w:val="center"/>
          </w:tcPr>
          <w:p>
            <w:r>
              <w:t>演示或迁移调试使用</w:t>
            </w:r>
          </w:p>
        </w:tc>
      </w:tr>
      <w:tr>
        <w:tc>
          <w:tcPr>
            <w:tcW w:type="dxa" w:w="2880"/>
            <w:vAlign w:val="center"/>
          </w:tcPr>
          <w:p>
            <w:r>
              <w:t>5</w:t>
            </w:r>
          </w:p>
        </w:tc>
        <w:tc>
          <w:tcPr>
            <w:tcW w:type="dxa" w:w="2880"/>
            <w:vAlign w:val="center"/>
          </w:tcPr>
          <w:p>
            <w:r>
              <w:t>无模型文件</w:t>
            </w:r>
          </w:p>
        </w:tc>
        <w:tc>
          <w:tcPr>
            <w:tcW w:type="dxa" w:w="2880"/>
            <w:vAlign w:val="center"/>
          </w:tcPr>
          <w:p>
            <w:r>
              <w:t>自动进入 MockSimulator，便于 UI 联调</w:t>
            </w:r>
          </w:p>
        </w:tc>
      </w:tr>
    </w:tbl>
    <w:p/>
    <w:p>
      <w:pPr>
        <w:pStyle w:val="Heading1"/>
      </w:pPr>
      <w:r>
        <w:t>6. 启动方式</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t>方式</w:t>
            </w:r>
          </w:p>
        </w:tc>
        <w:tc>
          <w:tcPr>
            <w:tcW w:type="dxa" w:w="2880"/>
            <w:shd w:fill="D9EAF7"/>
          </w:tcPr>
          <w:p>
            <w:r>
              <w:t>命令/操作</w:t>
            </w:r>
          </w:p>
        </w:tc>
        <w:tc>
          <w:tcPr>
            <w:tcW w:type="dxa" w:w="2880"/>
            <w:shd w:fill="D9EAF7"/>
          </w:tcPr>
          <w:p>
            <w:r>
              <w:t>说明</w:t>
            </w:r>
          </w:p>
        </w:tc>
      </w:tr>
      <w:tr>
        <w:tc>
          <w:tcPr>
            <w:tcW w:type="dxa" w:w="2880"/>
            <w:vAlign w:val="center"/>
          </w:tcPr>
          <w:p>
            <w:r>
              <w:t>Python 启动</w:t>
            </w:r>
          </w:p>
        </w:tc>
        <w:tc>
          <w:tcPr>
            <w:tcW w:type="dxa" w:w="2880"/>
            <w:vAlign w:val="center"/>
          </w:tcPr>
          <w:p>
            <w:r>
              <w:t>python app.py</w:t>
            </w:r>
          </w:p>
        </w:tc>
        <w:tc>
          <w:tcPr>
            <w:tcW w:type="dxa" w:w="2880"/>
            <w:vAlign w:val="center"/>
          </w:tcPr>
          <w:p>
            <w:r>
              <w:t>适合开发与调试</w:t>
            </w:r>
          </w:p>
        </w:tc>
      </w:tr>
      <w:tr>
        <w:tc>
          <w:tcPr>
            <w:tcW w:type="dxa" w:w="2880"/>
            <w:vAlign w:val="center"/>
          </w:tcPr>
          <w:p>
            <w:r>
              <w:t>模块启动</w:t>
            </w:r>
          </w:p>
        </w:tc>
        <w:tc>
          <w:tcPr>
            <w:tcW w:type="dxa" w:w="2880"/>
            <w:vAlign w:val="center"/>
          </w:tcPr>
          <w:p>
            <w:r>
              <w:t>python -m lingnan</w:t>
            </w:r>
          </w:p>
        </w:tc>
        <w:tc>
          <w:tcPr>
            <w:tcW w:type="dxa" w:w="2880"/>
            <w:vAlign w:val="center"/>
          </w:tcPr>
          <w:p>
            <w:r>
              <w:t>调用主包入口</w:t>
            </w:r>
          </w:p>
        </w:tc>
      </w:tr>
      <w:tr>
        <w:tc>
          <w:tcPr>
            <w:tcW w:type="dxa" w:w="2880"/>
            <w:vAlign w:val="center"/>
          </w:tcPr>
          <w:p>
            <w:r>
              <w:t>Windows 脚本</w:t>
            </w:r>
          </w:p>
        </w:tc>
        <w:tc>
          <w:tcPr>
            <w:tcW w:type="dxa" w:w="2880"/>
            <w:vAlign w:val="center"/>
          </w:tcPr>
          <w:p>
            <w:r>
              <w:t>双击 run.bat</w:t>
            </w:r>
          </w:p>
        </w:tc>
        <w:tc>
          <w:tcPr>
            <w:tcW w:type="dxa" w:w="2880"/>
            <w:vAlign w:val="center"/>
          </w:tcPr>
          <w:p>
            <w:r>
              <w:t>自动优先使用 .venv\Scripts\python.exe</w:t>
            </w:r>
          </w:p>
        </w:tc>
      </w:tr>
      <w:tr>
        <w:tc>
          <w:tcPr>
            <w:tcW w:type="dxa" w:w="2880"/>
            <w:vAlign w:val="center"/>
          </w:tcPr>
          <w:p>
            <w:r>
              <w:t>Linux/macOS 脚本</w:t>
            </w:r>
          </w:p>
        </w:tc>
        <w:tc>
          <w:tcPr>
            <w:tcW w:type="dxa" w:w="2880"/>
            <w:vAlign w:val="center"/>
          </w:tcPr>
          <w:p>
            <w:r>
              <w:t>./run.sh</w:t>
            </w:r>
          </w:p>
        </w:tc>
        <w:tc>
          <w:tcPr>
            <w:tcW w:type="dxa" w:w="2880"/>
            <w:vAlign w:val="center"/>
          </w:tcPr>
          <w:p>
            <w:r>
              <w:t>适合类 Unix 环境</w:t>
            </w:r>
          </w:p>
        </w:tc>
      </w:tr>
    </w:tbl>
    <w:p/>
    <w:p>
      <w:pPr>
        <w:pStyle w:val="Heading1"/>
      </w:pPr>
      <w:r>
        <w:t>7. 打包安装</w:t>
      </w:r>
    </w:p>
    <w:p>
      <w:r>
        <w:t>Windows 可使用 PyInstaller 生成绿色版程序，并可配合 Inno Setup 生成安装向导。</w:t>
      </w:r>
    </w:p>
    <w:p>
      <w:r>
        <w:rPr>
          <w:rFonts w:ascii="Consolas" w:hAnsi="Consolas" w:eastAsia="Consolas"/>
          <w:sz w:val="19"/>
        </w:rPr>
        <w:t>pip install pyinstaller</w:t>
        <w:br/>
        <w:t>build.bat</w:t>
        <w:br/>
        <w:t># 或</w:t>
        <w:br/>
        <w:t>pyinstaller build.spec</w:t>
      </w:r>
    </w:p>
    <w:p>
      <w:pPr>
        <w:pStyle w:val="ListBullet"/>
      </w:pPr>
      <w:r>
        <w:t>绿色版目录：dist/XHGan/XHGan.exe。</w:t>
      </w:r>
    </w:p>
    <w:p>
      <w:pPr>
        <w:pStyle w:val="ListBullet"/>
      </w:pPr>
      <w:r>
        <w:t>安装向导：dist/XHGan_Setup_x64.exe，需本机安装 Inno Setup。</w:t>
      </w:r>
    </w:p>
    <w:p>
      <w:pPr>
        <w:pStyle w:val="ListBullet"/>
      </w:pPr>
      <w:r>
        <w:t>打包前应确认模型文件、知识库生成逻辑和运行目录权限。</w:t>
      </w:r>
    </w:p>
    <w:p>
      <w:pPr>
        <w:pStyle w:val="Heading1"/>
      </w:pPr>
      <w:r>
        <w:t>8. 安装后验证</w:t>
      </w:r>
    </w:p>
    <w:p>
      <w:pPr>
        <w:pStyle w:val="ListNumber"/>
      </w:pPr>
      <w:r>
        <w:t>启动程序，确认主窗口正常显示。</w:t>
      </w:r>
    </w:p>
    <w:p>
      <w:pPr>
        <w:pStyle w:val="ListNumber"/>
      </w:pPr>
      <w:r>
        <w:t>进入“设置”页，检查字体倍率、阈值、保存目录等配置可读写。</w:t>
      </w:r>
    </w:p>
    <w:p>
      <w:pPr>
        <w:pStyle w:val="ListNumber"/>
      </w:pPr>
      <w:r>
        <w:t>进入“智能检测”页，导入红橙图片或演示图，确认可输出检测框、严重程度和防治处方。</w:t>
      </w:r>
    </w:p>
    <w:p>
      <w:pPr>
        <w:pStyle w:val="ListNumber"/>
      </w:pPr>
      <w:r>
        <w:t>进入“历史台账”页，确认检测记录可筛选并导出 Excel / PDF。</w:t>
      </w:r>
    </w:p>
    <w:p>
      <w:pPr>
        <w:pStyle w:val="ListNumber"/>
      </w:pPr>
      <w:r>
        <w:t>进入“教学生成”页，基于最近一次检测生成教学案例或实训指导意见。</w:t>
      </w:r>
    </w:p>
    <w:p>
      <w:pPr>
        <w:pStyle w:val="ListNumber"/>
      </w:pPr>
      <w:r>
        <w:t>断开网络后再次运行，确认本地检测和知识库推荐不受影响。</w:t>
      </w:r>
    </w:p>
    <w:p>
      <w:pPr>
        <w:pStyle w:val="Heading1"/>
      </w:pPr>
      <w:r>
        <w:t>9. 常见问题处理</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t>问题</w:t>
            </w:r>
          </w:p>
        </w:tc>
        <w:tc>
          <w:tcPr>
            <w:tcW w:type="dxa" w:w="2880"/>
            <w:shd w:fill="D9EAF7"/>
          </w:tcPr>
          <w:p>
            <w:r>
              <w:t>可能原因</w:t>
            </w:r>
          </w:p>
        </w:tc>
        <w:tc>
          <w:tcPr>
            <w:tcW w:type="dxa" w:w="2880"/>
            <w:shd w:fill="D9EAF7"/>
          </w:tcPr>
          <w:p>
            <w:r>
              <w:t>处理建议</w:t>
            </w:r>
          </w:p>
        </w:tc>
      </w:tr>
      <w:tr>
        <w:tc>
          <w:tcPr>
            <w:tcW w:type="dxa" w:w="2880"/>
            <w:vAlign w:val="center"/>
          </w:tcPr>
          <w:p>
            <w:r>
              <w:t>启动失败</w:t>
            </w:r>
          </w:p>
        </w:tc>
        <w:tc>
          <w:tcPr>
            <w:tcW w:type="dxa" w:w="2880"/>
            <w:vAlign w:val="center"/>
          </w:tcPr>
          <w:p>
            <w:r>
              <w:t>Python 版本或依赖缺失</w:t>
            </w:r>
          </w:p>
        </w:tc>
        <w:tc>
          <w:tcPr>
            <w:tcW w:type="dxa" w:w="2880"/>
            <w:vAlign w:val="center"/>
          </w:tcPr>
          <w:p>
            <w:r>
              <w:t>确认使用 Python 3.11，并重新安装 requirements.txt</w:t>
            </w:r>
          </w:p>
        </w:tc>
      </w:tr>
      <w:tr>
        <w:tc>
          <w:tcPr>
            <w:tcW w:type="dxa" w:w="2880"/>
            <w:vAlign w:val="center"/>
          </w:tcPr>
          <w:p>
            <w:r>
              <w:t>无检测结果</w:t>
            </w:r>
          </w:p>
        </w:tc>
        <w:tc>
          <w:tcPr>
            <w:tcW w:type="dxa" w:w="2880"/>
            <w:vAlign w:val="center"/>
          </w:tcPr>
          <w:p>
            <w:r>
              <w:t>未放置专属模型或阈值过高</w:t>
            </w:r>
          </w:p>
        </w:tc>
        <w:tc>
          <w:tcPr>
            <w:tcW w:type="dxa" w:w="2880"/>
            <w:vAlign w:val="center"/>
          </w:tcPr>
          <w:p>
            <w:r>
              <w:t>检查 models/ 目录；降低 conf 阈值；使用 MockSimulator 验证界面</w:t>
            </w:r>
          </w:p>
        </w:tc>
      </w:tr>
      <w:tr>
        <w:tc>
          <w:tcPr>
            <w:tcW w:type="dxa" w:w="2880"/>
            <w:vAlign w:val="center"/>
          </w:tcPr>
          <w:p>
            <w:r>
              <w:t>摄像头打不开</w:t>
            </w:r>
          </w:p>
        </w:tc>
        <w:tc>
          <w:tcPr>
            <w:tcW w:type="dxa" w:w="2880"/>
            <w:vAlign w:val="center"/>
          </w:tcPr>
          <w:p>
            <w:r>
              <w:t>设备被占用或驱动不兼容</w:t>
            </w:r>
          </w:p>
        </w:tc>
        <w:tc>
          <w:tcPr>
            <w:tcW w:type="dxa" w:w="2880"/>
            <w:vAlign w:val="center"/>
          </w:tcPr>
          <w:p>
            <w:r>
              <w:t>关闭其他摄像头软件，更换 UVC 摄像头或端口</w:t>
            </w:r>
          </w:p>
        </w:tc>
      </w:tr>
      <w:tr>
        <w:tc>
          <w:tcPr>
            <w:tcW w:type="dxa" w:w="2880"/>
            <w:vAlign w:val="center"/>
          </w:tcPr>
          <w:p>
            <w:r>
              <w:t>无法导出 PDF</w:t>
            </w:r>
          </w:p>
        </w:tc>
        <w:tc>
          <w:tcPr>
            <w:tcW w:type="dxa" w:w="2880"/>
            <w:vAlign w:val="center"/>
          </w:tcPr>
          <w:p>
            <w:r>
              <w:t>字体或 reportlab 依赖问题</w:t>
            </w:r>
          </w:p>
        </w:tc>
        <w:tc>
          <w:tcPr>
            <w:tcW w:type="dxa" w:w="2880"/>
            <w:vAlign w:val="center"/>
          </w:tcPr>
          <w:p>
            <w:r>
              <w:t>确认 reportlab 已安装，改用系统字体测试</w:t>
            </w:r>
          </w:p>
        </w:tc>
      </w:tr>
      <w:tr>
        <w:tc>
          <w:tcPr>
            <w:tcW w:type="dxa" w:w="2880"/>
            <w:vAlign w:val="center"/>
          </w:tcPr>
          <w:p>
            <w:r>
              <w:t>大模型生成不可用</w:t>
            </w:r>
          </w:p>
        </w:tc>
        <w:tc>
          <w:tcPr>
            <w:tcW w:type="dxa" w:w="2880"/>
            <w:vAlign w:val="center"/>
          </w:tcPr>
          <w:p>
            <w:r>
              <w:t>未配置 base_url/model 或网络不可达</w:t>
            </w:r>
          </w:p>
        </w:tc>
        <w:tc>
          <w:tcPr>
            <w:tcW w:type="dxa" w:w="2880"/>
            <w:vAlign w:val="center"/>
          </w:tcPr>
          <w:p>
            <w:r>
              <w:t>在设置页完善 LLM 配置；不可用时系统自动用模板生成</w:t>
            </w:r>
          </w:p>
        </w:tc>
      </w:tr>
    </w:tbl>
    <w:p/>
    <w:p>
      <w:pPr>
        <w:pStyle w:val="Heading1"/>
      </w:pPr>
      <w:r>
        <w:t>10. 安全与合规提示</w:t>
      </w:r>
    </w:p>
    <w:p>
      <w:pPr>
        <w:pStyle w:val="ListBullet"/>
      </w:pPr>
      <w:r>
        <w:t>系统默认本地运行，图片、台账和导出报告均存放在 runtime_data/。</w:t>
      </w:r>
    </w:p>
    <w:p>
      <w:pPr>
        <w:pStyle w:val="ListBullet"/>
      </w:pPr>
      <w:r>
        <w:t>模型权重、运行日志和检测数据库不建议提交到公共 Git 仓库。</w:t>
      </w:r>
    </w:p>
    <w:p>
      <w:pPr>
        <w:pStyle w:val="ListBullet"/>
      </w:pPr>
      <w:r>
        <w:t>药剂推荐仅作教学和农技辅助，最终用药应服从当地农业农村部门最新指导。</w:t>
      </w:r>
    </w:p>
    <w:p>
      <w:pPr>
        <w:pStyle w:val="ListBullet"/>
      </w:pPr>
      <w:r>
        <w:t>黄龙病确诊植株必须砍除并就地烧毁，禁止化学治疗。</w:t>
      </w:r>
    </w:p>
    <w:sectPr w:rsidR="00FC693F" w:rsidRPr="0006063C" w:rsidSect="00034616">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