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b w:val="0"/>
          <w:color w:val="777777"/>
          <w:sz w:val="20"/>
          <w:rtl w:val="1"/>
          <w:szCs w:val="20"/>
        </w:rPr>
        <w:t>شركة الريادة للتوزيع (شركة افتراضية لأغراض التدريب)</w:t>
      </w:r>
    </w:p>
    <w:p>
      <w:pPr>
        <w:bidi w:val="1"/>
      </w:pPr>
      <w:r>
        <w:rPr>
          <w:b/>
          <w:color w:val="0E4F4B"/>
          <w:sz w:val="36"/>
          <w:rtl w:val="1"/>
          <w:szCs w:val="36"/>
          <w:bCs/>
        </w:rPr>
        <w:t>إجراءات مرتجعات العملاء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الاستلام</w:t>
      </w:r>
    </w:p>
    <w:p>
      <w:pPr>
        <w:bidi w:val="1"/>
      </w:pPr>
      <w:r>
        <w:rPr>
          <w:b w:val="0"/>
          <w:sz w:val="24"/>
          <w:rtl w:val="1"/>
          <w:szCs w:val="24"/>
        </w:rPr>
        <w:t>• يُقبل المرتجع خلال ١٤ يومًا من تاريخ الفاتورة.</w:t>
      </w:r>
    </w:p>
    <w:p>
      <w:pPr>
        <w:bidi w:val="1"/>
      </w:pPr>
      <w:r>
        <w:rPr>
          <w:b w:val="0"/>
          <w:sz w:val="24"/>
          <w:rtl w:val="1"/>
          <w:szCs w:val="24"/>
        </w:rPr>
        <w:t>• يُسجَّل المرتجع في نموذج المرتجعات مع رقم الفاتورة وسبب الإرجاع.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الفحص</w:t>
      </w:r>
    </w:p>
    <w:p>
      <w:pPr>
        <w:bidi w:val="1"/>
      </w:pPr>
      <w:r>
        <w:rPr>
          <w:b w:val="0"/>
          <w:sz w:val="24"/>
          <w:rtl w:val="1"/>
          <w:szCs w:val="24"/>
        </w:rPr>
        <w:t>• يفحص قسم الجودة المرتجع خلال ٤٨ ساعة.</w:t>
      </w:r>
    </w:p>
    <w:p>
      <w:pPr>
        <w:bidi w:val="1"/>
      </w:pPr>
      <w:r>
        <w:rPr>
          <w:b w:val="0"/>
          <w:sz w:val="24"/>
          <w:rtl w:val="1"/>
          <w:szCs w:val="24"/>
        </w:rPr>
        <w:t>• إذا كان العيب من المصنع: يُرسل للمورد. إذا كان من التخزين أو النقل: يُحرر محضر داخلي.</w:t>
      </w:r>
    </w:p>
    <w:p>
      <w:pPr>
        <w:bidi w:val="1"/>
      </w:pPr>
      <w:r>
        <w:rPr>
          <w:b/>
          <w:color w:val="9A5B12"/>
          <w:sz w:val="28"/>
          <w:rtl w:val="1"/>
          <w:szCs w:val="28"/>
          <w:bCs/>
        </w:rPr>
        <w:t>التسوية</w:t>
      </w:r>
    </w:p>
    <w:p>
      <w:pPr>
        <w:bidi w:val="1"/>
      </w:pPr>
      <w:r>
        <w:rPr>
          <w:b w:val="0"/>
          <w:sz w:val="24"/>
          <w:rtl w:val="1"/>
          <w:szCs w:val="24"/>
        </w:rPr>
        <w:t>• يصدر إشعار دائن للعميل خلال ٧ أيام من قبول المرتجع.</w:t>
      </w:r>
    </w:p>
    <w:p>
      <w:pPr>
        <w:bidi w:val="1"/>
      </w:pPr>
      <w:r>
        <w:rPr>
          <w:b w:val="0"/>
          <w:sz w:val="24"/>
          <w:rtl w:val="1"/>
          <w:szCs w:val="24"/>
        </w:rPr>
        <w:t>• المرتجعات التي تتجاوز ١٠٠٠٠ جنيه تحتاج موافقة مدير المبيعات.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