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2"/>
        </w:rPr>
      </w:pPr>
      <w:r>
        <w:rPr>
          <w:b/>
          <w:sz w:val="28"/>
        </w:rPr>
        <w:t>LEASE AGREEMENT</w:t>
      </w:r>
    </w:p>
    <w:p>
      <w:pPr>
        <w:pStyle w:val="Normal"/>
        <w:bidi w:val="0"/>
        <w:jc w:val="start"/>
        <w:rPr>
          <w:sz w:val="22"/>
        </w:rPr>
      </w:pPr>
      <w:r>
        <w:rPr>
          <w:b/>
          <w:sz w:val="22"/>
        </w:rPr>
        <w:t>Contents</w:t>
      </w:r>
    </w:p>
    <w:p>
      <w:pPr>
        <w:pStyle w:val="Normal"/>
        <w:tabs>
          <w:tab w:val="clear" w:pos="720"/>
          <w:tab w:val="right" w:pos="9026" w:leader="dot"/>
        </w:tabs>
        <w:bidi w:val="0"/>
        <w:jc w:val="start"/>
        <w:rPr>
          <w:sz w:val="22"/>
        </w:rPr>
      </w:pPr>
      <w:r>
        <w:rPr>
          <w:sz w:val="22"/>
        </w:rPr>
        <w:t>Interpretation</w:t>
        <w:tab/>
        <w:t>1</w:t>
      </w:r>
    </w:p>
    <w:p>
      <w:pPr>
        <w:pStyle w:val="Normal"/>
        <w:tabs>
          <w:tab w:val="clear" w:pos="720"/>
          <w:tab w:val="right" w:pos="9026" w:leader="dot"/>
        </w:tabs>
        <w:bidi w:val="0"/>
        <w:jc w:val="start"/>
        <w:rPr>
          <w:sz w:val="22"/>
        </w:rPr>
      </w:pPr>
      <w:r>
        <w:rPr>
          <w:sz w:val="22"/>
        </w:rPr>
        <w:t>Grant of lease</w:t>
        <w:tab/>
        <w:t>1</w:t>
      </w:r>
    </w:p>
    <w:p>
      <w:pPr>
        <w:pStyle w:val="Normal"/>
        <w:tabs>
          <w:tab w:val="clear" w:pos="720"/>
          <w:tab w:val="right" w:pos="9026" w:leader="dot"/>
        </w:tabs>
        <w:bidi w:val="0"/>
        <w:jc w:val="start"/>
        <w:rPr>
          <w:sz w:val="22"/>
        </w:rPr>
      </w:pPr>
      <w:r>
        <w:rPr>
          <w:sz w:val="22"/>
        </w:rPr>
        <w:t>Rent and review</w:t>
        <w:tab/>
        <w:t>2</w:t>
      </w:r>
    </w:p>
    <w:p>
      <w:pPr>
        <w:pStyle w:val="Normal"/>
        <w:tabs>
          <w:tab w:val="clear" w:pos="720"/>
          <w:tab w:val="right" w:pos="9026" w:leader="dot"/>
        </w:tabs>
        <w:bidi w:val="0"/>
        <w:jc w:val="start"/>
        <w:rPr>
          <w:sz w:val="22"/>
        </w:rPr>
      </w:pPr>
      <w:r>
        <w:rPr>
          <w:sz w:val="22"/>
        </w:rPr>
        <w:t>Repair and decoration</w:t>
        <w:tab/>
        <w:t>2</w:t>
      </w:r>
    </w:p>
    <w:p>
      <w:pPr>
        <w:pStyle w:val="Normal"/>
        <w:bidi w:val="0"/>
        <w:jc w:val="start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2"/>
        </w:rPr>
      </w:pPr>
      <w:r>
        <w:rPr>
          <w:b/>
          <w:sz w:val="22"/>
        </w:rPr>
        <w:t>Interpretation</w:t>
      </w:r>
    </w:p>
    <w:p>
      <w:pPr>
        <w:pStyle w:val="Normal"/>
        <w:bidi w:val="0"/>
        <w:ind w:start="567"/>
        <w:jc w:val="start"/>
        <w:rPr>
          <w:sz w:val="22"/>
        </w:rPr>
      </w:pPr>
      <w:r>
        <w:rPr>
          <w:sz w:val="22"/>
        </w:rPr>
        <w:t>In this agreement the following words have the meanings given</w:t>
        <w:tab/>
        <w:t>(see schedule)</w:t>
      </w:r>
    </w:p>
    <w:p>
      <w:pPr>
        <w:pStyle w:val="Normal"/>
        <w:numPr>
          <w:ilvl w:val="1"/>
          <w:numId w:val="1"/>
        </w:numPr>
        <w:bidi w:val="0"/>
        <w:jc w:val="start"/>
        <w:rPr>
          <w:sz w:val="22"/>
        </w:rPr>
      </w:pPr>
      <w:r>
        <w:rPr>
          <w:sz w:val="22"/>
        </w:rPr>
        <w:t>Premises means the property described in the schedule</w:t>
      </w:r>
    </w:p>
    <w:p>
      <w:pPr>
        <w:pStyle w:val="Normal"/>
        <w:numPr>
          <w:ilvl w:val="1"/>
          <w:numId w:val="1"/>
        </w:numPr>
        <w:bidi w:val="0"/>
        <w:jc w:val="start"/>
        <w:rPr>
          <w:sz w:val="22"/>
        </w:rPr>
      </w:pPr>
      <w:r>
        <w:rPr>
          <w:sz w:val="22"/>
        </w:rPr>
        <w:t>Term means the period of years stated in clause 2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2"/>
        </w:rPr>
      </w:pPr>
      <w:r>
        <w:rPr>
          <w:b/>
          <w:sz w:val="22"/>
        </w:rPr>
        <w:t>Grant of lease</w:t>
      </w:r>
    </w:p>
    <w:p>
      <w:pPr>
        <w:pStyle w:val="Normal"/>
        <w:bidi w:val="0"/>
        <w:ind w:start="567"/>
        <w:jc w:val="start"/>
        <w:rPr>
          <w:sz w:val="22"/>
        </w:rPr>
      </w:pPr>
      <w:r>
        <w:rPr>
          <w:sz w:val="22"/>
        </w:rPr>
        <w:t>The landlord grants and the tenant accepts a lease of the premises</w:t>
        <w:tab/>
        <w:t>(see schedule)</w:t>
      </w:r>
    </w:p>
    <w:p>
      <w:pPr>
        <w:pStyle w:val="Normal"/>
        <w:numPr>
          <w:ilvl w:val="1"/>
          <w:numId w:val="1"/>
        </w:numPr>
        <w:bidi w:val="0"/>
        <w:jc w:val="start"/>
        <w:rPr>
          <w:sz w:val="22"/>
        </w:rPr>
      </w:pPr>
      <w:r>
        <w:rPr>
          <w:sz w:val="22"/>
        </w:rPr>
        <w:t>together with the rights set out in part one of the schedule</w:t>
      </w:r>
    </w:p>
    <w:p>
      <w:pPr>
        <w:pStyle w:val="Normal"/>
        <w:bidi w:val="0"/>
        <w:ind w:hanging="283" w:start="567"/>
        <w:jc w:val="start"/>
        <w:rPr>
          <w:sz w:val="22"/>
        </w:rPr>
      </w:pPr>
      <w:r>
        <w:rPr>
          <w:sz w:val="22"/>
        </w:rPr>
        <w:t xml:space="preserve">Rent is payable quarterly in advance on the usual quarter days and the first payment falls due on the date of this agreement. </w:t>
        <w:tab/>
        <w:t>Interest runs from the due date.</w:t>
      </w:r>
    </w:p>
    <w:p>
      <w:pPr>
        <w:pStyle w:val="Normal"/>
        <w:bidi w:val="0"/>
        <w:jc w:val="start"/>
        <w:rPr>
          <w:sz w:val="22"/>
        </w:rPr>
      </w:pPr>
      <w:r>
        <w:rPr>
          <w:sz w:val="22"/>
        </w:rPr>
      </w:r>
    </w:p>
    <w:p>
      <w:pPr>
        <w:pStyle w:val="Normal"/>
        <w:bidi w:val="0"/>
        <w:jc w:val="start"/>
        <w:rPr>
          <w:sz w:val="22"/>
        </w:rPr>
      </w:pPr>
      <w:r>
        <w:rPr>
          <w:sz w:val="22"/>
        </w:rPr>
        <w:t>Signed for and on behalf of the parties:</w:t>
      </w:r>
    </w:p>
    <w:p>
      <w:pPr>
        <w:pStyle w:val="Normal"/>
        <w:tabs>
          <w:tab w:val="clear" w:pos="720"/>
          <w:tab w:val="left" w:pos="4513" w:leader="none"/>
        </w:tabs>
        <w:bidi w:val="0"/>
        <w:jc w:val="start"/>
        <w:rPr>
          <w:sz w:val="22"/>
        </w:rPr>
      </w:pPr>
      <w:r>
        <w:rPr>
          <w:sz w:val="22"/>
        </w:rPr>
        <w:t>Landlord</w:t>
        <w:tab/>
        <w:t>Tenant</w:t>
      </w:r>
    </w:p>
    <w:p>
      <w:pPr>
        <w:pStyle w:val="Normal"/>
        <w:tabs>
          <w:tab w:val="clear" w:pos="720"/>
          <w:tab w:val="right" w:pos="3969" w:leader="underscore"/>
          <w:tab w:val="right" w:pos="9026" w:leader="underscore"/>
        </w:tabs>
        <w:bidi w:val="0"/>
        <w:jc w:val="start"/>
        <w:rPr>
          <w:sz w:val="22"/>
        </w:rPr>
      </w:pPr>
      <w:r>
        <w:rPr>
          <w:sz w:val="22"/>
        </w:rPr>
        <w:tab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67" w:hanging="567"/>
      </w:pPr>
      <w:rPr/>
    </w:lvl>
    <w:lvl w:ilvl="1">
      <w:start w:val="1"/>
      <w:numFmt w:val="lowerLetter"/>
      <w:lvlText w:val="(%2)"/>
      <w:lvlJc w:val="end"/>
      <w:pPr>
        <w:tabs>
          <w:tab w:val="num" w:pos="0"/>
        </w:tabs>
        <w:ind w:start="1134" w:hanging="34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0"/>
      <w:sz w:val="22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