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gap0</w:t>
      </w:r>
    </w:p>
    <w:p>
      <w:pPr>
        <w:widowControl w:val="0"/>
        <w:ind w:right="7000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gap1</w:t>
      </w:r>
    </w:p>
    <w:p>
      <w:pPr>
        <w:widowControl w:val="0"/>
        <w:snapToGrid w:val="0"/>
        <w:ind w:right="7000"/>
      </w:pPr>
      <w:r>
        <w:rPr>
          <w:sz w:val="20"/>
        </w:rPr>
        <w:t xml:space="preserve">aa bb cc dd ee ff gg hh ii jj</w:t>
      </w:r>
    </w:p>
    <w:p>
      <w:pPr>
        <w:widowControl w:val="0"/>
      </w:pPr>
      <w:r>
        <w:rPr>
          <w:sz w:val="20"/>
        </w:rPr>
        <w:t xml:space="preserve">end</w:t>
      </w:r>
    </w:p>
    <w:sectPr>
      <w:pgSz w:w="11906" w:h="16838"/>
      <w:pgMar w:top="1440" w:right="1440" w:bottom="1440" w:left="1440" w:header="720" w:footer="720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